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0.xml" ContentType="application/vnd.openxmlformats-officedocument.drawingml.chartshapes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8E30" w14:textId="711EA937" w:rsidR="00046060" w:rsidRDefault="00046060">
      <w:pPr>
        <w:pStyle w:val="Sinespaciado"/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</w:pPr>
      <w:bookmarkStart w:id="0" w:name="_Hlk49250386"/>
      <w:bookmarkStart w:id="1" w:name="_Toc410402057"/>
      <w:bookmarkStart w:id="2" w:name="_Toc457550818"/>
      <w:bookmarkEnd w:id="0"/>
      <w: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tab/>
      </w:r>
    </w:p>
    <w:sdt>
      <w:sdtP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id w:val="-1951234547"/>
        <w:docPartObj>
          <w:docPartGallery w:val="Cover Pages"/>
          <w:docPartUnique/>
        </w:docPartObj>
      </w:sdtPr>
      <w:sdtEndPr>
        <w:rPr>
          <w:rFonts w:eastAsiaTheme="majorEastAsia"/>
          <w:b/>
          <w:bCs/>
          <w:color w:val="FF0000"/>
          <w:sz w:val="22"/>
          <w:szCs w:val="26"/>
          <w:lang w:val="es-GT"/>
        </w:rPr>
      </w:sdtEndPr>
      <w:sdtContent>
        <w:p w14:paraId="5BB9D6E1" w14:textId="4589C6E1" w:rsidR="00DB22E2" w:rsidRPr="00AC1506" w:rsidRDefault="009A1471">
          <w:pPr>
            <w:pStyle w:val="Sinespaciado"/>
            <w:rPr>
              <w:rFonts w:ascii="Times New Roman" w:hAnsi="Times New Roman" w:cs="Times New Roman"/>
              <w:sz w:val="2"/>
            </w:rPr>
          </w:pPr>
          <w:r w:rsidRPr="00AC1506">
            <w:rPr>
              <w:rFonts w:ascii="Times New Roman" w:hAnsi="Times New Roman"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730031" wp14:editId="046655F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2344615"/>
                    <wp:effectExtent l="0" t="0" r="0" b="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1F497D" w:themeColor="text2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335CAA98" w14:textId="78F041A5" w:rsidR="008624C1" w:rsidRPr="00445193" w:rsidRDefault="008624C1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1F497D" w:themeColor="text2"/>
                                        <w:sz w:val="68"/>
                                        <w:szCs w:val="68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Informe de las Finanz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A</w:t>
                                    </w: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s públicas</w:t>
                                    </w:r>
                                  </w:p>
                                </w:sdtContent>
                              </w:sdt>
                              <w:p w14:paraId="050956C6" w14:textId="67AFA661" w:rsidR="008624C1" w:rsidRPr="00BF230D" w:rsidRDefault="008A0AC1">
                                <w:pPr>
                                  <w:pStyle w:val="Sinespaciado"/>
                                  <w:spacing w:before="12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1DD6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Primer</w:t>
                                    </w:r>
                                    <w:r w:rsidR="008624C1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Trimestre</w:t>
                                    </w:r>
                                  </w:sdtContent>
                                </w:sdt>
                                <w:r w:rsidR="008624C1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202</w:t>
                                </w:r>
                                <w:r w:rsidR="00071DD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8624C1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14:paraId="52529D54" w14:textId="77777777" w:rsidR="008624C1" w:rsidRDefault="008624C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73003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margin-left:0;margin-top:0;width:468pt;height:184.6pt;z-index:25165824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aps/>
                              <w:color w:val="1F497D" w:themeColor="text2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335CAA98" w14:textId="78F041A5" w:rsidR="008624C1" w:rsidRPr="00445193" w:rsidRDefault="008624C1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F497D" w:themeColor="text2"/>
                                  <w:sz w:val="68"/>
                                  <w:szCs w:val="68"/>
                                </w:rPr>
                              </w:pP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Informe de las Finanz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A</w:t>
                              </w: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s públicas</w:t>
                              </w:r>
                            </w:p>
                          </w:sdtContent>
                        </w:sdt>
                        <w:p w14:paraId="050956C6" w14:textId="67AFA661" w:rsidR="008624C1" w:rsidRPr="00BF230D" w:rsidRDefault="00AA60CE">
                          <w:pPr>
                            <w:pStyle w:val="Sinespaciado"/>
                            <w:spacing w:before="120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71D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>Primer</w:t>
                              </w:r>
                              <w:r w:rsidR="008624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Trimestre</w:t>
                              </w:r>
                            </w:sdtContent>
                          </w:sdt>
                          <w:r w:rsidR="008624C1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071DD6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>1</w:t>
                          </w:r>
                          <w:r w:rsidR="008624C1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lang w:val="es-ES"/>
                            </w:rPr>
                            <w:t xml:space="preserve"> </w:t>
                          </w:r>
                        </w:p>
                        <w:p w14:paraId="52529D54" w14:textId="77777777" w:rsidR="008624C1" w:rsidRDefault="008624C1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3756366" w14:textId="2E3848D9" w:rsidR="00DB22E2" w:rsidRPr="00AC1506" w:rsidRDefault="00DB22E2" w:rsidP="00CD34D6">
          <w:pPr>
            <w:rPr>
              <w:rFonts w:cs="Times New Roman"/>
            </w:rPr>
          </w:pPr>
          <w:r w:rsidRPr="00AC1506">
            <w:rPr>
              <w:rFonts w:cs="Times New Roman"/>
              <w:noProof/>
              <w:color w:val="4F81BD" w:themeColor="accent1"/>
              <w:sz w:val="36"/>
              <w:szCs w:val="36"/>
              <w:lang w:eastAsia="es-GT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05D5122E" wp14:editId="5A272F86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F192C26" id="Grupo 2" o:spid="_x0000_s1026" style="position:absolute;margin-left:0;margin-top:0;width:432.65pt;height:448.55pt;z-index:-251658239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 w:rsidRPr="00AC1506">
            <w:rPr>
              <w:rFonts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C570617" wp14:editId="2191751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981A5" w14:textId="47703BAC" w:rsidR="008624C1" w:rsidRPr="00BF230D" w:rsidRDefault="008A0AC1">
                                <w:pPr>
                                  <w:pStyle w:val="Sinespaciado"/>
                                  <w:jc w:val="right"/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624C1"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Dirección de Análisis y Política Fiscal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2F3E6E" w14:textId="1330AD25" w:rsidR="008624C1" w:rsidRPr="00BF230D" w:rsidRDefault="008624C1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Ministerio de Finanzas Públicas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570617" id="Cuadro de texto 69" o:spid="_x0000_s1027" type="#_x0000_t202" style="position:absolute;left:0;text-align:left;margin-left:0;margin-top:0;width:468pt;height:29.5pt;z-index:25165824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14:paraId="013981A5" w14:textId="47703BAC" w:rsidR="008624C1" w:rsidRPr="00BF230D" w:rsidRDefault="00AA60CE">
                          <w:pPr>
                            <w:pStyle w:val="Sinespaciado"/>
                            <w:jc w:val="right"/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624C1"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Dirección de Análisis y Política Fiscal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162F3E6E" w14:textId="1330AD25" w:rsidR="008624C1" w:rsidRPr="00BF230D" w:rsidRDefault="008624C1">
                              <w:pPr>
                                <w:pStyle w:val="Sinespaciado"/>
                                <w:jc w:val="right"/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Ministerio de Finanzas Públicas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83944DB" w14:textId="4FB7B066" w:rsidR="00DB22E2" w:rsidRPr="00AC1506" w:rsidRDefault="009A1471" w:rsidP="00CD34D6">
          <w:pPr>
            <w:spacing w:after="200" w:line="276" w:lineRule="auto"/>
            <w:rPr>
              <w:rFonts w:eastAsiaTheme="majorEastAsia" w:cs="Times New Roman"/>
              <w:b/>
              <w:bCs/>
              <w:color w:val="FF0000"/>
              <w:szCs w:val="26"/>
            </w:rPr>
          </w:pPr>
          <w:r w:rsidRPr="00AC1506">
            <w:rPr>
              <w:rFonts w:eastAsiaTheme="majorEastAsia" w:cs="Times New Roman"/>
              <w:b/>
              <w:bCs/>
              <w:noProof/>
              <w:color w:val="FF0000"/>
              <w:szCs w:val="26"/>
              <w:lang w:eastAsia="es-GT"/>
            </w:rPr>
            <w:drawing>
              <wp:anchor distT="0" distB="0" distL="114300" distR="114300" simplePos="0" relativeHeight="251658243" behindDoc="1" locked="0" layoutInCell="1" allowOverlap="1" wp14:anchorId="405DD89E" wp14:editId="26DDC1D9">
                <wp:simplePos x="0" y="0"/>
                <wp:positionH relativeFrom="margin">
                  <wp:posOffset>1464799</wp:posOffset>
                </wp:positionH>
                <wp:positionV relativeFrom="paragraph">
                  <wp:posOffset>2640917</wp:posOffset>
                </wp:positionV>
                <wp:extent cx="2736653" cy="1242647"/>
                <wp:effectExtent l="0" t="0" r="698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653" cy="1242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B22E2" w:rsidRPr="00AC1506">
            <w:rPr>
              <w:rFonts w:eastAsiaTheme="majorEastAsia" w:cs="Times New Roman"/>
              <w:b/>
              <w:bCs/>
              <w:color w:val="FF0000"/>
              <w:szCs w:val="26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FF0000"/>
          <w:sz w:val="24"/>
          <w:szCs w:val="24"/>
          <w:lang w:val="es-ES" w:eastAsia="es-ES"/>
        </w:rPr>
        <w:id w:val="-1412613934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12B0682B" w14:textId="77777777" w:rsidR="0032588B" w:rsidRPr="00AC1506" w:rsidRDefault="0032588B" w:rsidP="000D58D6">
          <w:pPr>
            <w:pStyle w:val="TtuloTDC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</w:pPr>
          <w:r w:rsidRPr="00AC1506"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  <w:t>Contenido</w:t>
          </w:r>
        </w:p>
        <w:p w14:paraId="1498E71B" w14:textId="77777777" w:rsidR="00F3006C" w:rsidRPr="00AC1506" w:rsidRDefault="00F3006C" w:rsidP="00CD34D6">
          <w:pPr>
            <w:spacing w:line="276" w:lineRule="auto"/>
            <w:rPr>
              <w:rFonts w:cs="Times New Roman"/>
              <w:color w:val="FF0000"/>
              <w:lang w:val="es-ES" w:eastAsia="es-GT"/>
            </w:rPr>
          </w:pPr>
        </w:p>
        <w:p w14:paraId="350DD661" w14:textId="31CD98B8" w:rsidR="002C3498" w:rsidRDefault="0032588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r w:rsidRPr="00AC1506">
            <w:rPr>
              <w:color w:val="FF0000"/>
              <w:lang w:val="es-ES_tradnl"/>
            </w:rPr>
            <w:fldChar w:fldCharType="begin"/>
          </w:r>
          <w:r w:rsidRPr="00AC1506">
            <w:rPr>
              <w:color w:val="FF0000"/>
            </w:rPr>
            <w:instrText xml:space="preserve"> TOC \o "1-3" \h \z \u </w:instrText>
          </w:r>
          <w:r w:rsidRPr="00AC1506">
            <w:rPr>
              <w:color w:val="FF0000"/>
              <w:lang w:val="es-ES_tradnl"/>
            </w:rPr>
            <w:fldChar w:fldCharType="separate"/>
          </w:r>
          <w:hyperlink w:anchor="_Toc71108048" w:history="1">
            <w:r w:rsidR="002C3498" w:rsidRPr="00035009">
              <w:rPr>
                <w:rStyle w:val="Hipervnculo"/>
                <w:lang w:val="es-ES_tradnl"/>
              </w:rPr>
              <w:t>Introducción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_Toc71108048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2</w:t>
            </w:r>
            <w:r w:rsidR="002C3498">
              <w:rPr>
                <w:webHidden/>
              </w:rPr>
              <w:fldChar w:fldCharType="end"/>
            </w:r>
          </w:hyperlink>
        </w:p>
        <w:p w14:paraId="6EE62798" w14:textId="543ED289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49" w:history="1">
            <w:r w:rsidR="002C3498" w:rsidRPr="00035009">
              <w:rPr>
                <w:rStyle w:val="Hipervnculo"/>
                <w:lang w:val="es-ES_tradnl"/>
              </w:rPr>
              <w:t>I.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ES_tradnl"/>
              </w:rPr>
              <w:t>Ingresos del Gobierno Central Presupuestario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_Toc71108049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2</w:t>
            </w:r>
            <w:r w:rsidR="002C3498">
              <w:rPr>
                <w:webHidden/>
              </w:rPr>
              <w:fldChar w:fldCharType="end"/>
            </w:r>
          </w:hyperlink>
        </w:p>
        <w:p w14:paraId="0E89E2B1" w14:textId="1EC25473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50" w:history="1">
            <w:r w:rsidR="002C3498" w:rsidRPr="00035009">
              <w:rPr>
                <w:rStyle w:val="Hipervnculo"/>
                <w:rFonts w:cs="Times New Roman"/>
                <w:noProof/>
              </w:rPr>
              <w:t>1.1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Los ingresos totales muestran una mejoría respecto a 2020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_Toc71108050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2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5ACA4623" w14:textId="3449F0C8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51" w:history="1">
            <w:r w:rsidR="002C3498" w:rsidRPr="00035009">
              <w:rPr>
                <w:rStyle w:val="Hipervnculo"/>
                <w:rFonts w:cs="Times New Roman"/>
                <w:noProof/>
              </w:rPr>
              <w:t>1.2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Los Impuestos se muestran alentadores en el primer trimestre 2021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_Toc71108051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3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1CF1A281" w14:textId="08261EAD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55" w:history="1">
            <w:r w:rsidR="002C3498" w:rsidRPr="00035009">
              <w:rPr>
                <w:rStyle w:val="Hipervnculo"/>
                <w:lang w:val="es-ES_tradnl"/>
              </w:rPr>
              <w:t>II.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ES_tradnl"/>
              </w:rPr>
              <w:t>Gasto Público del Gobierno Central Presupuestario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_Toc71108055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4</w:t>
            </w:r>
            <w:r w:rsidR="002C3498">
              <w:rPr>
                <w:webHidden/>
              </w:rPr>
              <w:fldChar w:fldCharType="end"/>
            </w:r>
          </w:hyperlink>
        </w:p>
        <w:p w14:paraId="7CF3F704" w14:textId="64929470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58" w:history="1">
            <w:r w:rsidR="002C3498" w:rsidRPr="00035009">
              <w:rPr>
                <w:rStyle w:val="Hipervnculo"/>
                <w:rFonts w:cs="Times New Roman"/>
                <w:noProof/>
              </w:rPr>
              <w:t>2.1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Se observa un bajo dinamismo en el Gasto Público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_Toc71108058 \h </w:instrText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36585196" w14:textId="75C3D548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59" w:history="1">
            <w:r w:rsidR="002C3498" w:rsidRPr="00035009">
              <w:rPr>
                <w:rStyle w:val="Hipervnculo"/>
                <w:lang w:val="es-MX"/>
              </w:rPr>
              <w:t>III.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MX"/>
              </w:rPr>
              <w:t>Transacciones en Activos No Financieros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_Toc71108059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5</w:t>
            </w:r>
            <w:r w:rsidR="002C3498">
              <w:rPr>
                <w:webHidden/>
              </w:rPr>
              <w:fldChar w:fldCharType="end"/>
            </w:r>
          </w:hyperlink>
        </w:p>
        <w:p w14:paraId="753EA827" w14:textId="6DBBDCD3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61" w:history="1">
            <w:r w:rsidR="002C3498" w:rsidRPr="00035009">
              <w:rPr>
                <w:rStyle w:val="Hipervnculo"/>
                <w:rFonts w:cs="Times New Roman"/>
                <w:noProof/>
              </w:rPr>
              <w:t>3.1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La inversión en activos no financieros aumenta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_Toc71108061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5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7FC5D700" w14:textId="178947E5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62" w:history="1">
            <w:r w:rsidR="002C3498" w:rsidRPr="00035009">
              <w:rPr>
                <w:rStyle w:val="Hipervnculo"/>
                <w:lang w:val="es-MX"/>
              </w:rPr>
              <w:t>IV.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MX"/>
              </w:rPr>
              <w:t>Financiamiento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_Toc71108062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5</w:t>
            </w:r>
            <w:r w:rsidR="002C3498">
              <w:rPr>
                <w:webHidden/>
              </w:rPr>
              <w:fldChar w:fldCharType="end"/>
            </w:r>
          </w:hyperlink>
        </w:p>
        <w:p w14:paraId="63D61E7F" w14:textId="44DB2FB6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64" w:history="1">
            <w:r w:rsidR="002C3498" w:rsidRPr="00035009">
              <w:rPr>
                <w:rStyle w:val="Hipervnculo"/>
                <w:rFonts w:cs="Times New Roman"/>
                <w:noProof/>
              </w:rPr>
              <w:t>4.1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Disponibilidad de activos financieros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_Toc71108064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5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285CE5F3" w14:textId="62E9F2FD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65" w:history="1">
            <w:r w:rsidR="002C3498" w:rsidRPr="00035009">
              <w:rPr>
                <w:rStyle w:val="Hipervnculo"/>
                <w:rFonts w:cs="Times New Roman"/>
                <w:noProof/>
              </w:rPr>
              <w:t>4.2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Uso de pasivos como fuente de financiamiento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_Toc71108065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6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0EEE5FC4" w14:textId="78BF640F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66" w:history="1">
            <w:r w:rsidR="002C3498" w:rsidRPr="00035009">
              <w:rPr>
                <w:rStyle w:val="Hipervnculo"/>
                <w:lang w:val="es-ES_tradnl"/>
              </w:rPr>
              <w:t>V.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ES_tradnl"/>
              </w:rPr>
              <w:t>Erogaciones del Gobierno Central Presupuestario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_Toc71108066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6</w:t>
            </w:r>
            <w:r w:rsidR="002C3498">
              <w:rPr>
                <w:webHidden/>
              </w:rPr>
              <w:fldChar w:fldCharType="end"/>
            </w:r>
          </w:hyperlink>
        </w:p>
        <w:p w14:paraId="69DC966D" w14:textId="6AF515E6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73" w:history="1">
            <w:r w:rsidR="002C3498" w:rsidRPr="00035009">
              <w:rPr>
                <w:rStyle w:val="Hipervnculo"/>
                <w:rFonts w:cs="Times New Roman"/>
                <w:noProof/>
              </w:rPr>
              <w:t>5.1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Erogaciones por Función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_Toc71108073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6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4E83C497" w14:textId="181874D1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74" w:history="1">
            <w:r w:rsidR="002C3498" w:rsidRPr="00035009">
              <w:rPr>
                <w:rStyle w:val="Hipervnculo"/>
                <w:rFonts w:cs="Times New Roman"/>
                <w:noProof/>
              </w:rPr>
              <w:t>5.2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Grado de Ejecución Presupuestaria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_Toc71108074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7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3019AB66" w14:textId="09613291" w:rsidR="002C3498" w:rsidRDefault="008A0AC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71108075" w:history="1">
            <w:r w:rsidR="002C3498" w:rsidRPr="00035009">
              <w:rPr>
                <w:rStyle w:val="Hipervnculo"/>
                <w:lang w:val="es-MX"/>
              </w:rPr>
              <w:t>VI.</w:t>
            </w:r>
            <w:r w:rsidR="002C349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lang w:val="es-MX"/>
              </w:rPr>
              <w:t>Resultado Fiscal</w:t>
            </w:r>
            <w:r w:rsidR="002C3498">
              <w:rPr>
                <w:webHidden/>
              </w:rPr>
              <w:tab/>
            </w:r>
            <w:r w:rsidR="002C3498">
              <w:rPr>
                <w:webHidden/>
              </w:rPr>
              <w:fldChar w:fldCharType="begin"/>
            </w:r>
            <w:r w:rsidR="002C3498">
              <w:rPr>
                <w:webHidden/>
              </w:rPr>
              <w:instrText xml:space="preserve"> PAGEREF _Toc71108075 \h </w:instrText>
            </w:r>
            <w:r w:rsidR="002C3498">
              <w:rPr>
                <w:webHidden/>
              </w:rPr>
            </w:r>
            <w:r w:rsidR="002C3498">
              <w:rPr>
                <w:webHidden/>
              </w:rPr>
              <w:fldChar w:fldCharType="separate"/>
            </w:r>
            <w:r w:rsidR="00410667">
              <w:rPr>
                <w:webHidden/>
              </w:rPr>
              <w:t>8</w:t>
            </w:r>
            <w:r w:rsidR="002C3498">
              <w:rPr>
                <w:webHidden/>
              </w:rPr>
              <w:fldChar w:fldCharType="end"/>
            </w:r>
          </w:hyperlink>
        </w:p>
        <w:p w14:paraId="63D13A06" w14:textId="7ECFB119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77" w:history="1">
            <w:r w:rsidR="002C3498" w:rsidRPr="00035009">
              <w:rPr>
                <w:rStyle w:val="Hipervnculo"/>
                <w:rFonts w:cs="Times New Roman"/>
                <w:noProof/>
              </w:rPr>
              <w:t>6.1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Resultado Operativo Negativo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_Toc71108077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8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6CABED71" w14:textId="6057B482" w:rsidR="002C3498" w:rsidRDefault="008A0AC1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71108078" w:history="1">
            <w:r w:rsidR="002C3498" w:rsidRPr="00035009">
              <w:rPr>
                <w:rStyle w:val="Hipervnculo"/>
                <w:rFonts w:cs="Times New Roman"/>
                <w:noProof/>
              </w:rPr>
              <w:t>6.2</w:t>
            </w:r>
            <w:r w:rsidR="002C349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2C3498" w:rsidRPr="00035009">
              <w:rPr>
                <w:rStyle w:val="Hipervnculo"/>
                <w:rFonts w:cs="Times New Roman"/>
                <w:noProof/>
              </w:rPr>
              <w:t>Préstamo o Endeudamiento (Déficit o Superávit fiscal)</w:t>
            </w:r>
            <w:r w:rsidR="002C3498">
              <w:rPr>
                <w:noProof/>
                <w:webHidden/>
              </w:rPr>
              <w:tab/>
            </w:r>
            <w:r w:rsidR="002C3498">
              <w:rPr>
                <w:noProof/>
                <w:webHidden/>
              </w:rPr>
              <w:fldChar w:fldCharType="begin"/>
            </w:r>
            <w:r w:rsidR="002C3498">
              <w:rPr>
                <w:noProof/>
                <w:webHidden/>
              </w:rPr>
              <w:instrText xml:space="preserve"> PAGEREF _Toc71108078 \h </w:instrText>
            </w:r>
            <w:r w:rsidR="002C3498">
              <w:rPr>
                <w:noProof/>
                <w:webHidden/>
              </w:rPr>
            </w:r>
            <w:r w:rsidR="002C3498">
              <w:rPr>
                <w:noProof/>
                <w:webHidden/>
              </w:rPr>
              <w:fldChar w:fldCharType="separate"/>
            </w:r>
            <w:r w:rsidR="00410667">
              <w:rPr>
                <w:noProof/>
                <w:webHidden/>
              </w:rPr>
              <w:t>8</w:t>
            </w:r>
            <w:r w:rsidR="002C3498">
              <w:rPr>
                <w:noProof/>
                <w:webHidden/>
              </w:rPr>
              <w:fldChar w:fldCharType="end"/>
            </w:r>
          </w:hyperlink>
        </w:p>
        <w:p w14:paraId="0DEFDA39" w14:textId="1AC0EC28" w:rsidR="0032588B" w:rsidRPr="00AC1506" w:rsidRDefault="0032588B" w:rsidP="00CD34D6">
          <w:pPr>
            <w:spacing w:line="276" w:lineRule="auto"/>
            <w:rPr>
              <w:rFonts w:cs="Times New Roman"/>
              <w:color w:val="FF0000"/>
            </w:rPr>
          </w:pPr>
          <w:r w:rsidRPr="00AC1506">
            <w:rPr>
              <w:rFonts w:cs="Times New Roman"/>
              <w:bCs/>
              <w:color w:val="FF0000"/>
              <w:lang w:val="es-ES"/>
            </w:rPr>
            <w:fldChar w:fldCharType="end"/>
          </w:r>
        </w:p>
      </w:sdtContent>
    </w:sdt>
    <w:p w14:paraId="762B340A" w14:textId="41A25F1E" w:rsidR="0041288C" w:rsidRPr="00AC1506" w:rsidRDefault="0041288C" w:rsidP="00CD34D6">
      <w:pPr>
        <w:spacing w:after="200" w:line="276" w:lineRule="auto"/>
        <w:rPr>
          <w:rFonts w:eastAsiaTheme="majorEastAsia" w:cs="Times New Roman"/>
          <w:b/>
          <w:bCs/>
          <w:szCs w:val="26"/>
        </w:rPr>
      </w:pPr>
      <w:bookmarkStart w:id="3" w:name="_Toc33180541"/>
      <w:r w:rsidRPr="00AC1506">
        <w:rPr>
          <w:rFonts w:eastAsiaTheme="majorEastAsia" w:cs="Times New Roman"/>
          <w:b/>
          <w:bCs/>
          <w:szCs w:val="26"/>
        </w:rPr>
        <w:br w:type="page"/>
      </w:r>
    </w:p>
    <w:p w14:paraId="6C76A338" w14:textId="72E3A05E" w:rsidR="0041288C" w:rsidRDefault="0041288C" w:rsidP="00055D08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" w:name="_Toc71108048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lastRenderedPageBreak/>
        <w:t>Introducción</w:t>
      </w:r>
      <w:bookmarkEnd w:id="3"/>
      <w:bookmarkEnd w:id="4"/>
    </w:p>
    <w:p w14:paraId="39EBB9E0" w14:textId="0DE20EC4" w:rsidR="00974B8B" w:rsidRPr="00AC1506" w:rsidRDefault="0041288C" w:rsidP="00F55D61">
      <w:pPr>
        <w:rPr>
          <w:lang w:val="es-MX"/>
        </w:rPr>
      </w:pPr>
      <w:r w:rsidRPr="00AC1506">
        <w:rPr>
          <w:lang w:val="es-MX"/>
        </w:rPr>
        <w:t>A continuación, se presenta el Informe</w:t>
      </w:r>
      <w:r w:rsidR="00445193" w:rsidRPr="00AC1506">
        <w:rPr>
          <w:lang w:val="es-MX"/>
        </w:rPr>
        <w:t xml:space="preserve"> </w:t>
      </w:r>
      <w:r w:rsidR="002E2298" w:rsidRPr="00AC1506">
        <w:rPr>
          <w:lang w:val="es-MX"/>
        </w:rPr>
        <w:t xml:space="preserve">del </w:t>
      </w:r>
      <w:r w:rsidR="00071DD6">
        <w:rPr>
          <w:lang w:val="es-MX"/>
        </w:rPr>
        <w:t>Primer</w:t>
      </w:r>
      <w:r w:rsidR="002E2298" w:rsidRPr="00AC1506">
        <w:rPr>
          <w:lang w:val="es-MX"/>
        </w:rPr>
        <w:t xml:space="preserve"> </w:t>
      </w:r>
      <w:r w:rsidR="00C923AF">
        <w:rPr>
          <w:lang w:val="es-MX"/>
        </w:rPr>
        <w:t>T</w:t>
      </w:r>
      <w:r w:rsidR="002E2298" w:rsidRPr="00AC1506">
        <w:rPr>
          <w:lang w:val="es-MX"/>
        </w:rPr>
        <w:t>rimestre de 202</w:t>
      </w:r>
      <w:r w:rsidR="00071DD6">
        <w:rPr>
          <w:lang w:val="es-MX"/>
        </w:rPr>
        <w:t>1</w:t>
      </w:r>
      <w:r w:rsidR="002E2298" w:rsidRPr="00AC1506">
        <w:rPr>
          <w:lang w:val="es-MX"/>
        </w:rPr>
        <w:t xml:space="preserve">, </w:t>
      </w:r>
      <w:r w:rsidRPr="00AC1506">
        <w:rPr>
          <w:lang w:val="es-MX"/>
        </w:rPr>
        <w:t>sobre l</w:t>
      </w:r>
      <w:r w:rsidR="00D63046" w:rsidRPr="00AC1506">
        <w:rPr>
          <w:lang w:val="es-MX"/>
        </w:rPr>
        <w:t>a ejecución financiera del gobierno central presupuestario sobre la base de las</w:t>
      </w:r>
      <w:r w:rsidRPr="00AC1506">
        <w:rPr>
          <w:lang w:val="es-MX"/>
        </w:rPr>
        <w:t xml:space="preserve"> Estadísticas de las Finanzas Públicas -EFP- el cual contiene los aspectos más relevantes de la evolución de las variables fiscales</w:t>
      </w:r>
      <w:r w:rsidR="00D63046" w:rsidRPr="00AC1506">
        <w:rPr>
          <w:lang w:val="es-MX"/>
        </w:rPr>
        <w:t>, así como las</w:t>
      </w:r>
      <w:r w:rsidR="00AA5C09" w:rsidRPr="00AC1506">
        <w:rPr>
          <w:lang w:val="es-MX"/>
        </w:rPr>
        <w:t xml:space="preserve"> </w:t>
      </w:r>
      <w:r w:rsidRPr="00AC1506">
        <w:rPr>
          <w:lang w:val="es-MX"/>
        </w:rPr>
        <w:t>principales acciones en materia de ingresos, gasto, transacciones en activos y pasivos y las erogaciones por función del Gobierno</w:t>
      </w:r>
      <w:r w:rsidR="004E3572" w:rsidRPr="00AC1506">
        <w:rPr>
          <w:lang w:val="es-MX"/>
        </w:rPr>
        <w:t xml:space="preserve">. </w:t>
      </w:r>
    </w:p>
    <w:p w14:paraId="670D14B2" w14:textId="77777777" w:rsidR="00974B8B" w:rsidRPr="00AC1506" w:rsidRDefault="00974B8B" w:rsidP="00F55D61">
      <w:pPr>
        <w:rPr>
          <w:lang w:val="es-MX"/>
        </w:rPr>
      </w:pPr>
    </w:p>
    <w:p w14:paraId="18FF9F69" w14:textId="18B6F083" w:rsidR="0041288C" w:rsidRDefault="004E3572" w:rsidP="00F55D61">
      <w:pPr>
        <w:rPr>
          <w:lang w:val="es-MX"/>
        </w:rPr>
      </w:pPr>
      <w:r w:rsidRPr="00AC1506">
        <w:rPr>
          <w:lang w:val="es-MX"/>
        </w:rPr>
        <w:t xml:space="preserve">Cabe mencionar que dicha información utiliza los </w:t>
      </w:r>
      <w:r w:rsidR="005F2296" w:rsidRPr="00AC1506">
        <w:rPr>
          <w:lang w:val="es-MX"/>
        </w:rPr>
        <w:t>estándares internacionales establecidos en el Manual de Estadísticas de las Finanzas Públicas 2014 -MEFP-</w:t>
      </w:r>
      <w:r w:rsidR="00974B8B" w:rsidRPr="00AC1506">
        <w:rPr>
          <w:lang w:val="es-MX"/>
        </w:rPr>
        <w:t xml:space="preserve"> del Fondo Monetario </w:t>
      </w:r>
      <w:r w:rsidR="00F35956" w:rsidRPr="00AC1506">
        <w:rPr>
          <w:lang w:val="es-MX"/>
        </w:rPr>
        <w:t xml:space="preserve">Internacional </w:t>
      </w:r>
      <w:r w:rsidR="0041288C" w:rsidRPr="00AC1506">
        <w:rPr>
          <w:lang w:val="es-MX"/>
        </w:rPr>
        <w:t>-FMI- por lo que existen diferencias en comparación</w:t>
      </w:r>
      <w:r w:rsidR="00774760" w:rsidRPr="00AC1506">
        <w:rPr>
          <w:lang w:val="es-MX"/>
        </w:rPr>
        <w:t xml:space="preserve"> a las cifras que son publicadas </w:t>
      </w:r>
      <w:r w:rsidR="0041288C" w:rsidRPr="00AC1506">
        <w:rPr>
          <w:lang w:val="es-MX"/>
        </w:rPr>
        <w:t>utiliza</w:t>
      </w:r>
      <w:r w:rsidR="00774760" w:rsidRPr="00AC1506">
        <w:rPr>
          <w:lang w:val="es-MX"/>
        </w:rPr>
        <w:t>ndo</w:t>
      </w:r>
      <w:r w:rsidR="0041288C" w:rsidRPr="00AC1506">
        <w:rPr>
          <w:lang w:val="es-MX"/>
        </w:rPr>
        <w:t xml:space="preserve"> la metodología nacional.</w:t>
      </w:r>
      <w:r w:rsidR="00F8714D" w:rsidRPr="00AC1506">
        <w:rPr>
          <w:lang w:val="es-MX"/>
        </w:rPr>
        <w:t xml:space="preserve"> </w:t>
      </w:r>
      <w:r w:rsidR="003D1490" w:rsidRPr="00AC1506">
        <w:rPr>
          <w:lang w:val="es-MX"/>
        </w:rPr>
        <w:t xml:space="preserve">En caso de cualquier </w:t>
      </w:r>
      <w:r w:rsidR="00FA4254">
        <w:rPr>
          <w:lang w:val="es-MX"/>
        </w:rPr>
        <w:t>duda</w:t>
      </w:r>
      <w:r w:rsidR="00E507D9" w:rsidRPr="00AC1506">
        <w:rPr>
          <w:lang w:val="es-MX"/>
        </w:rPr>
        <w:t xml:space="preserve"> sobre estas diferencias</w:t>
      </w:r>
      <w:r w:rsidR="002710C2" w:rsidRPr="00AC1506">
        <w:rPr>
          <w:lang w:val="es-MX"/>
        </w:rPr>
        <w:t xml:space="preserve">, </w:t>
      </w:r>
      <w:r w:rsidR="00723705">
        <w:rPr>
          <w:lang w:val="es-MX"/>
        </w:rPr>
        <w:t xml:space="preserve">se </w:t>
      </w:r>
      <w:r w:rsidR="002710C2" w:rsidRPr="00AC1506">
        <w:rPr>
          <w:lang w:val="es-MX"/>
        </w:rPr>
        <w:t xml:space="preserve">puede consultar los documentos de </w:t>
      </w:r>
      <w:r w:rsidR="00C139AC" w:rsidRPr="00AC1506">
        <w:rPr>
          <w:lang w:val="es-MX"/>
        </w:rPr>
        <w:t>“</w:t>
      </w:r>
      <w:r w:rsidR="002710C2" w:rsidRPr="00AC1506">
        <w:rPr>
          <w:lang w:val="es-MX"/>
        </w:rPr>
        <w:t>Metodología</w:t>
      </w:r>
      <w:r w:rsidR="00C139AC" w:rsidRPr="00AC1506">
        <w:rPr>
          <w:lang w:val="es-MX"/>
        </w:rPr>
        <w:t>”</w:t>
      </w:r>
      <w:r w:rsidR="002710C2" w:rsidRPr="00AC1506">
        <w:rPr>
          <w:lang w:val="es-MX"/>
        </w:rPr>
        <w:t xml:space="preserve"> y de </w:t>
      </w:r>
      <w:r w:rsidR="00C139AC" w:rsidRPr="00AC1506">
        <w:rPr>
          <w:lang w:val="es-MX"/>
        </w:rPr>
        <w:t xml:space="preserve">“Metadatos” </w:t>
      </w:r>
      <w:r w:rsidR="00F42DC5" w:rsidRPr="00AC1506">
        <w:rPr>
          <w:lang w:val="es-MX"/>
        </w:rPr>
        <w:t xml:space="preserve">que se encuentran publicados en </w:t>
      </w:r>
      <w:r w:rsidR="00C923AF">
        <w:rPr>
          <w:lang w:val="es-MX"/>
        </w:rPr>
        <w:t xml:space="preserve">la </w:t>
      </w:r>
      <w:r w:rsidR="00DB2A3F" w:rsidRPr="00AC1506">
        <w:rPr>
          <w:lang w:val="es-MX"/>
        </w:rPr>
        <w:t>página</w:t>
      </w:r>
      <w:r w:rsidR="00F42DC5" w:rsidRPr="00AC1506">
        <w:rPr>
          <w:lang w:val="es-MX"/>
        </w:rPr>
        <w:t xml:space="preserve"> web</w:t>
      </w:r>
      <w:r w:rsidR="00C923AF">
        <w:rPr>
          <w:lang w:val="es-MX"/>
        </w:rPr>
        <w:t xml:space="preserve"> del Ministerio de Finanzas Públicas</w:t>
      </w:r>
      <w:r w:rsidR="00723705">
        <w:rPr>
          <w:lang w:val="es-MX"/>
        </w:rPr>
        <w:t>,</w:t>
      </w:r>
      <w:r w:rsidR="00C923AF">
        <w:rPr>
          <w:lang w:val="es-MX"/>
        </w:rPr>
        <w:t xml:space="preserve"> en la sección de “Estadísticas según Estándares Internacionales”</w:t>
      </w:r>
      <w:r w:rsidR="00F42DC5" w:rsidRPr="00AC1506">
        <w:rPr>
          <w:lang w:val="es-MX"/>
        </w:rPr>
        <w:t>.</w:t>
      </w:r>
    </w:p>
    <w:p w14:paraId="37675F4D" w14:textId="77777777" w:rsidR="00B616D7" w:rsidRPr="00AC1506" w:rsidRDefault="00B616D7" w:rsidP="00F55D61">
      <w:pPr>
        <w:rPr>
          <w:lang w:val="es-MX"/>
        </w:rPr>
      </w:pPr>
    </w:p>
    <w:p w14:paraId="5741AEC2" w14:textId="23DE093D" w:rsidR="00E66A98" w:rsidRPr="00AC1506" w:rsidRDefault="00A52F77" w:rsidP="00E66A98">
      <w:pPr>
        <w:pStyle w:val="Prrafodelista"/>
        <w:numPr>
          <w:ilvl w:val="0"/>
          <w:numId w:val="1"/>
        </w:numPr>
        <w:ind w:left="284" w:hanging="284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5" w:name="_Toc71108049"/>
      <w:bookmarkEnd w:id="1"/>
      <w:bookmarkEnd w:id="2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Ingresos</w:t>
      </w:r>
      <w:r w:rsidR="00E66A98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</w:t>
      </w:r>
      <w:r w:rsidR="00301F9F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del Gobierno Central Presupuestario</w:t>
      </w:r>
      <w:bookmarkEnd w:id="5"/>
    </w:p>
    <w:p w14:paraId="03BC969A" w14:textId="50FCF76D" w:rsidR="00E66A98" w:rsidRPr="00AC1506" w:rsidRDefault="00DB2C33" w:rsidP="002C3755">
      <w:pPr>
        <w:rPr>
          <w:rFonts w:eastAsiaTheme="majorEastAsia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2394B235" wp14:editId="45E3F372">
            <wp:extent cx="5836920" cy="876300"/>
            <wp:effectExtent l="76200" t="38100" r="87630" b="1333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6" w:name="_Toc471986924"/>
      <w:bookmarkStart w:id="7" w:name="_Toc471987059"/>
      <w:bookmarkStart w:id="8" w:name="_Toc471987107"/>
      <w:bookmarkStart w:id="9" w:name="_Toc471987129"/>
      <w:bookmarkStart w:id="10" w:name="_Toc472082158"/>
      <w:bookmarkStart w:id="11" w:name="_Toc472082190"/>
      <w:bookmarkStart w:id="12" w:name="_Toc472089905"/>
      <w:bookmarkStart w:id="13" w:name="_Toc472089928"/>
      <w:bookmarkStart w:id="14" w:name="_Toc505346056"/>
      <w:bookmarkStart w:id="15" w:name="_Toc505349869"/>
      <w:bookmarkStart w:id="16" w:name="_Toc534985827"/>
      <w:bookmarkStart w:id="17" w:name="_Toc534988220"/>
      <w:bookmarkStart w:id="18" w:name="_Toc31611540"/>
      <w:bookmarkStart w:id="19" w:name="_Toc31612756"/>
      <w:bookmarkStart w:id="20" w:name="_Toc31612788"/>
      <w:bookmarkStart w:id="21" w:name="_Toc31614814"/>
      <w:bookmarkStart w:id="22" w:name="_Toc31614846"/>
      <w:bookmarkStart w:id="23" w:name="_Toc31618683"/>
      <w:bookmarkStart w:id="24" w:name="_Toc31618716"/>
      <w:bookmarkStart w:id="25" w:name="_Toc31624492"/>
      <w:bookmarkStart w:id="26" w:name="_Toc31625344"/>
      <w:bookmarkStart w:id="27" w:name="_Toc31626799"/>
      <w:bookmarkStart w:id="28" w:name="_Toc31811250"/>
      <w:bookmarkStart w:id="29" w:name="_Toc31811695"/>
      <w:bookmarkStart w:id="30" w:name="_Toc31971858"/>
      <w:bookmarkStart w:id="31" w:name="_Toc32230880"/>
      <w:bookmarkStart w:id="32" w:name="_Toc33109779"/>
      <w:bookmarkStart w:id="33" w:name="_Toc33109822"/>
      <w:bookmarkStart w:id="34" w:name="_Toc33180543"/>
      <w:bookmarkStart w:id="35" w:name="_Toc33180637"/>
      <w:bookmarkStart w:id="36" w:name="_Toc33193534"/>
      <w:bookmarkStart w:id="37" w:name="_Toc33193573"/>
      <w:bookmarkStart w:id="38" w:name="_Toc33196770"/>
      <w:bookmarkStart w:id="39" w:name="_Toc40691746"/>
      <w:bookmarkStart w:id="40" w:name="_Toc40959149"/>
      <w:bookmarkStart w:id="41" w:name="_Toc40975983"/>
      <w:bookmarkStart w:id="42" w:name="_Toc40976052"/>
      <w:bookmarkStart w:id="43" w:name="_Toc40993307"/>
      <w:bookmarkStart w:id="44" w:name="_Toc40993689"/>
      <w:bookmarkStart w:id="45" w:name="_Toc4103756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4EA4DCF" w14:textId="0A6C25A2" w:rsidR="00E66A98" w:rsidRPr="00AC1506" w:rsidRDefault="0027445C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6" w:name="_Toc71108050"/>
      <w:r w:rsidRPr="00AC1506">
        <w:rPr>
          <w:rFonts w:cs="Times New Roman"/>
          <w:noProof/>
          <w:sz w:val="24"/>
          <w:lang w:eastAsia="es-GT"/>
        </w:rPr>
        <w:drawing>
          <wp:anchor distT="0" distB="0" distL="114300" distR="114300" simplePos="0" relativeHeight="251658246" behindDoc="0" locked="0" layoutInCell="1" allowOverlap="1" wp14:anchorId="0E488811" wp14:editId="495B9E7A">
            <wp:simplePos x="0" y="0"/>
            <wp:positionH relativeFrom="column">
              <wp:posOffset>3232785</wp:posOffset>
            </wp:positionH>
            <wp:positionV relativeFrom="paragraph">
              <wp:posOffset>222250</wp:posOffset>
            </wp:positionV>
            <wp:extent cx="2677795" cy="1909445"/>
            <wp:effectExtent l="0" t="0" r="8255" b="14605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F15">
        <w:rPr>
          <w:rFonts w:ascii="Times New Roman" w:hAnsi="Times New Roman" w:cs="Times New Roman"/>
          <w:color w:val="auto"/>
          <w:sz w:val="24"/>
        </w:rPr>
        <w:t xml:space="preserve">Los ingresos </w:t>
      </w:r>
      <w:r w:rsidR="00044AF8">
        <w:rPr>
          <w:rFonts w:ascii="Times New Roman" w:hAnsi="Times New Roman" w:cs="Times New Roman"/>
          <w:color w:val="auto"/>
          <w:sz w:val="24"/>
        </w:rPr>
        <w:t xml:space="preserve">totales </w:t>
      </w:r>
      <w:r w:rsidR="00E04151">
        <w:rPr>
          <w:rFonts w:ascii="Times New Roman" w:hAnsi="Times New Roman" w:cs="Times New Roman"/>
          <w:color w:val="auto"/>
          <w:sz w:val="24"/>
        </w:rPr>
        <w:t>muestran una mejor</w:t>
      </w:r>
      <w:r w:rsidR="00962437">
        <w:rPr>
          <w:rFonts w:ascii="Times New Roman" w:hAnsi="Times New Roman" w:cs="Times New Roman"/>
          <w:color w:val="auto"/>
          <w:sz w:val="24"/>
        </w:rPr>
        <w:t>a</w:t>
      </w:r>
      <w:r w:rsidR="00E04151">
        <w:rPr>
          <w:rFonts w:ascii="Times New Roman" w:hAnsi="Times New Roman" w:cs="Times New Roman"/>
          <w:color w:val="auto"/>
          <w:sz w:val="24"/>
        </w:rPr>
        <w:t xml:space="preserve"> respecto</w:t>
      </w:r>
      <w:r w:rsidR="00611855">
        <w:rPr>
          <w:rFonts w:ascii="Times New Roman" w:hAnsi="Times New Roman" w:cs="Times New Roman"/>
          <w:color w:val="auto"/>
          <w:sz w:val="24"/>
        </w:rPr>
        <w:t xml:space="preserve"> a 2020</w:t>
      </w:r>
      <w:bookmarkEnd w:id="46"/>
    </w:p>
    <w:p w14:paraId="34D61FEF" w14:textId="329ECA2D" w:rsidR="00692A00" w:rsidRDefault="007730AD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>En el</w:t>
      </w:r>
      <w:r w:rsidR="00193413">
        <w:rPr>
          <w:rFonts w:cs="Times New Roman"/>
          <w:szCs w:val="22"/>
        </w:rPr>
        <w:t xml:space="preserve"> primer trimestre </w:t>
      </w:r>
      <w:r w:rsidR="00962437">
        <w:rPr>
          <w:rFonts w:cs="Times New Roman"/>
          <w:szCs w:val="22"/>
        </w:rPr>
        <w:t>de</w:t>
      </w:r>
      <w:r w:rsidR="00193413">
        <w:rPr>
          <w:rFonts w:cs="Times New Roman"/>
          <w:szCs w:val="22"/>
        </w:rPr>
        <w:t xml:space="preserve"> 2021</w:t>
      </w:r>
      <w:r w:rsidR="001A2E9A">
        <w:rPr>
          <w:rFonts w:cs="Times New Roman"/>
          <w:szCs w:val="22"/>
        </w:rPr>
        <w:t xml:space="preserve"> se observa </w:t>
      </w:r>
      <w:r w:rsidR="001604DC">
        <w:rPr>
          <w:rFonts w:cs="Times New Roman"/>
          <w:szCs w:val="22"/>
        </w:rPr>
        <w:t>resultados</w:t>
      </w:r>
      <w:r w:rsidR="001A2E9A">
        <w:rPr>
          <w:rFonts w:cs="Times New Roman"/>
          <w:szCs w:val="22"/>
        </w:rPr>
        <w:t xml:space="preserve"> positiv</w:t>
      </w:r>
      <w:r w:rsidR="001604DC">
        <w:rPr>
          <w:rFonts w:cs="Times New Roman"/>
          <w:szCs w:val="22"/>
        </w:rPr>
        <w:t>o</w:t>
      </w:r>
      <w:r w:rsidR="001A2E9A">
        <w:rPr>
          <w:rFonts w:cs="Times New Roman"/>
          <w:szCs w:val="22"/>
        </w:rPr>
        <w:t>s</w:t>
      </w:r>
      <w:r w:rsidR="001604DC">
        <w:rPr>
          <w:rFonts w:cs="Times New Roman"/>
          <w:szCs w:val="22"/>
        </w:rPr>
        <w:t xml:space="preserve"> en los ingresos totales</w:t>
      </w:r>
      <w:r w:rsidR="001A2E9A">
        <w:rPr>
          <w:rFonts w:cs="Times New Roman"/>
          <w:szCs w:val="22"/>
        </w:rPr>
        <w:t xml:space="preserve">, alcanzando </w:t>
      </w:r>
      <w:r w:rsidR="00962437">
        <w:rPr>
          <w:rFonts w:cs="Times New Roman"/>
          <w:szCs w:val="22"/>
        </w:rPr>
        <w:t>a</w:t>
      </w:r>
      <w:r w:rsidR="008D1FDF">
        <w:rPr>
          <w:rFonts w:cs="Times New Roman"/>
          <w:szCs w:val="22"/>
        </w:rPr>
        <w:t xml:space="preserve"> marzo un total de</w:t>
      </w:r>
      <w:r w:rsidR="001A2E9A">
        <w:rPr>
          <w:rFonts w:cs="Times New Roman"/>
          <w:szCs w:val="22"/>
        </w:rPr>
        <w:t xml:space="preserve"> </w:t>
      </w:r>
      <w:r w:rsidR="00442A6C">
        <w:rPr>
          <w:rFonts w:cs="Times New Roman"/>
          <w:szCs w:val="22"/>
        </w:rPr>
        <w:t xml:space="preserve">Q19,249.2 </w:t>
      </w:r>
      <w:r w:rsidR="001604DC">
        <w:rPr>
          <w:rFonts w:cs="Times New Roman"/>
          <w:szCs w:val="22"/>
        </w:rPr>
        <w:t>m</w:t>
      </w:r>
      <w:r w:rsidR="00442A6C">
        <w:rPr>
          <w:rFonts w:cs="Times New Roman"/>
          <w:szCs w:val="22"/>
        </w:rPr>
        <w:t>illones</w:t>
      </w:r>
      <w:r w:rsidR="008D1FDF">
        <w:rPr>
          <w:rFonts w:cs="Times New Roman"/>
          <w:szCs w:val="22"/>
        </w:rPr>
        <w:t xml:space="preserve"> y</w:t>
      </w:r>
      <w:r w:rsidR="006373C5">
        <w:rPr>
          <w:rFonts w:cs="Times New Roman"/>
          <w:szCs w:val="22"/>
        </w:rPr>
        <w:t xml:space="preserve"> siendo este un crecimiento interanual del 19.9%</w:t>
      </w:r>
      <w:r w:rsidR="00FC2222">
        <w:rPr>
          <w:rFonts w:cs="Times New Roman"/>
          <w:szCs w:val="22"/>
        </w:rPr>
        <w:t xml:space="preserve"> (</w:t>
      </w:r>
      <w:r w:rsidR="006C209F">
        <w:rPr>
          <w:rFonts w:cs="Times New Roman"/>
          <w:szCs w:val="22"/>
        </w:rPr>
        <w:t>Q3,</w:t>
      </w:r>
      <w:r w:rsidR="001C19CB">
        <w:rPr>
          <w:rFonts w:cs="Times New Roman"/>
          <w:szCs w:val="22"/>
        </w:rPr>
        <w:t>196</w:t>
      </w:r>
      <w:r w:rsidR="006C209F">
        <w:rPr>
          <w:rFonts w:cs="Times New Roman"/>
          <w:szCs w:val="22"/>
        </w:rPr>
        <w:t>.1 millones)</w:t>
      </w:r>
      <w:r w:rsidR="006373C5">
        <w:rPr>
          <w:rFonts w:cs="Times New Roman"/>
          <w:szCs w:val="22"/>
        </w:rPr>
        <w:t xml:space="preserve"> respecto a lo observado en el mismo periodo del año previo</w:t>
      </w:r>
      <w:r w:rsidR="008D1FDF">
        <w:rPr>
          <w:rFonts w:cs="Times New Roman"/>
          <w:szCs w:val="22"/>
        </w:rPr>
        <w:t xml:space="preserve">, el cual cabe mencionar </w:t>
      </w:r>
      <w:r w:rsidR="008F7C00">
        <w:rPr>
          <w:rFonts w:cs="Times New Roman"/>
          <w:szCs w:val="22"/>
        </w:rPr>
        <w:t>había sido</w:t>
      </w:r>
      <w:r w:rsidR="008D1FDF">
        <w:rPr>
          <w:rFonts w:cs="Times New Roman"/>
          <w:szCs w:val="22"/>
        </w:rPr>
        <w:t xml:space="preserve"> </w:t>
      </w:r>
      <w:r w:rsidR="00382B21">
        <w:rPr>
          <w:rFonts w:cs="Times New Roman"/>
          <w:szCs w:val="22"/>
        </w:rPr>
        <w:t>afecta</w:t>
      </w:r>
      <w:r w:rsidR="00E153CF">
        <w:rPr>
          <w:rFonts w:cs="Times New Roman"/>
          <w:szCs w:val="22"/>
        </w:rPr>
        <w:t>do</w:t>
      </w:r>
      <w:r w:rsidR="00382B21">
        <w:rPr>
          <w:rFonts w:cs="Times New Roman"/>
          <w:szCs w:val="22"/>
        </w:rPr>
        <w:t xml:space="preserve"> por</w:t>
      </w:r>
      <w:r w:rsidR="008B4956">
        <w:rPr>
          <w:rFonts w:cs="Times New Roman"/>
          <w:szCs w:val="22"/>
        </w:rPr>
        <w:t xml:space="preserve"> la Pandemia del Covid-19</w:t>
      </w:r>
      <w:r w:rsidR="006373C5">
        <w:rPr>
          <w:rFonts w:cs="Times New Roman"/>
          <w:szCs w:val="22"/>
        </w:rPr>
        <w:t>.</w:t>
      </w:r>
      <w:r w:rsidR="005B1D23">
        <w:rPr>
          <w:rFonts w:cs="Times New Roman"/>
          <w:szCs w:val="22"/>
        </w:rPr>
        <w:t xml:space="preserve"> </w:t>
      </w:r>
    </w:p>
    <w:p w14:paraId="6459C3BA" w14:textId="77777777" w:rsidR="00692A00" w:rsidRDefault="00692A00" w:rsidP="00CD34D6">
      <w:pPr>
        <w:rPr>
          <w:rFonts w:cs="Times New Roman"/>
          <w:szCs w:val="22"/>
        </w:rPr>
      </w:pPr>
    </w:p>
    <w:p w14:paraId="0D863396" w14:textId="1468A8AF" w:rsidR="00A05973" w:rsidRDefault="00FE3E59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El principal incremento de los ingresos totales se debe al comportamiento de los </w:t>
      </w:r>
      <w:r w:rsidR="001C788D">
        <w:rPr>
          <w:rFonts w:cs="Times New Roman"/>
          <w:szCs w:val="22"/>
        </w:rPr>
        <w:t>i</w:t>
      </w:r>
      <w:r>
        <w:rPr>
          <w:rFonts w:cs="Times New Roman"/>
          <w:szCs w:val="22"/>
        </w:rPr>
        <w:t>mpuestos</w:t>
      </w:r>
      <w:r w:rsidR="004A0A73">
        <w:rPr>
          <w:rFonts w:cs="Times New Roman"/>
          <w:szCs w:val="22"/>
        </w:rPr>
        <w:t xml:space="preserve"> el cual tuvo un incremento interanual acumulado del 22.9% (</w:t>
      </w:r>
      <w:r w:rsidR="00E71063">
        <w:rPr>
          <w:rFonts w:cs="Times New Roman"/>
          <w:szCs w:val="22"/>
        </w:rPr>
        <w:t xml:space="preserve">Q3,282.1 millones) seguido por las contribuciones sociales con el </w:t>
      </w:r>
      <w:r w:rsidR="00F35AFA">
        <w:rPr>
          <w:rFonts w:cs="Times New Roman"/>
          <w:szCs w:val="22"/>
        </w:rPr>
        <w:t>1.1% (Q12.5 millones)</w:t>
      </w:r>
      <w:r w:rsidR="00267974">
        <w:rPr>
          <w:rFonts w:cs="Times New Roman"/>
          <w:szCs w:val="22"/>
        </w:rPr>
        <w:t xml:space="preserve"> y</w:t>
      </w:r>
      <w:r w:rsidR="009B4266">
        <w:rPr>
          <w:rFonts w:cs="Times New Roman"/>
          <w:szCs w:val="22"/>
        </w:rPr>
        <w:t xml:space="preserve"> las donaciones con el 26.5% (Q0.8 millones), mientras</w:t>
      </w:r>
      <w:r w:rsidR="00267974">
        <w:rPr>
          <w:rFonts w:cs="Times New Roman"/>
          <w:szCs w:val="22"/>
        </w:rPr>
        <w:t xml:space="preserve"> que los otros ingresos experimentar</w:t>
      </w:r>
      <w:r w:rsidR="00046004">
        <w:rPr>
          <w:rFonts w:cs="Times New Roman"/>
          <w:szCs w:val="22"/>
        </w:rPr>
        <w:t>on</w:t>
      </w:r>
      <w:r w:rsidR="00267974">
        <w:rPr>
          <w:rFonts w:cs="Times New Roman"/>
          <w:szCs w:val="22"/>
        </w:rPr>
        <w:t xml:space="preserve"> una disminución interanual</w:t>
      </w:r>
      <w:r w:rsidR="00046004">
        <w:rPr>
          <w:rFonts w:cs="Times New Roman"/>
          <w:szCs w:val="22"/>
        </w:rPr>
        <w:t xml:space="preserve"> del 17.3% (Q99.4 millones)</w:t>
      </w:r>
      <w:r w:rsidR="0038658E">
        <w:rPr>
          <w:rFonts w:cs="Times New Roman"/>
          <w:szCs w:val="22"/>
        </w:rPr>
        <w:t xml:space="preserve"> principalmente derivado</w:t>
      </w:r>
      <w:r w:rsidR="00BD6408">
        <w:rPr>
          <w:rFonts w:cs="Times New Roman"/>
          <w:szCs w:val="22"/>
        </w:rPr>
        <w:t xml:space="preserve"> </w:t>
      </w:r>
      <w:r w:rsidR="003C209A">
        <w:rPr>
          <w:rFonts w:cs="Times New Roman"/>
          <w:szCs w:val="22"/>
        </w:rPr>
        <w:t xml:space="preserve">a la disminución </w:t>
      </w:r>
      <w:r w:rsidR="0092793E">
        <w:rPr>
          <w:rFonts w:cs="Times New Roman"/>
          <w:szCs w:val="22"/>
        </w:rPr>
        <w:t>en</w:t>
      </w:r>
      <w:r w:rsidR="003C209A">
        <w:rPr>
          <w:rFonts w:cs="Times New Roman"/>
          <w:szCs w:val="22"/>
        </w:rPr>
        <w:t xml:space="preserve"> </w:t>
      </w:r>
      <w:r w:rsidR="00BD6408">
        <w:rPr>
          <w:rFonts w:cs="Times New Roman"/>
          <w:szCs w:val="22"/>
        </w:rPr>
        <w:t>los dividendos</w:t>
      </w:r>
      <w:r w:rsidR="0092793E">
        <w:rPr>
          <w:rFonts w:cs="Times New Roman"/>
          <w:szCs w:val="22"/>
        </w:rPr>
        <w:t xml:space="preserve"> </w:t>
      </w:r>
      <w:r w:rsidR="006A742B">
        <w:rPr>
          <w:rFonts w:cs="Times New Roman"/>
          <w:szCs w:val="22"/>
        </w:rPr>
        <w:t>recibidos</w:t>
      </w:r>
      <w:r w:rsidR="00BD6408">
        <w:rPr>
          <w:rFonts w:cs="Times New Roman"/>
          <w:szCs w:val="22"/>
        </w:rPr>
        <w:t>,</w:t>
      </w:r>
      <w:r w:rsidR="0038658E">
        <w:rPr>
          <w:rFonts w:cs="Times New Roman"/>
          <w:szCs w:val="22"/>
        </w:rPr>
        <w:t xml:space="preserve"> </w:t>
      </w:r>
      <w:r w:rsidR="006A742B">
        <w:rPr>
          <w:rFonts w:cs="Times New Roman"/>
          <w:szCs w:val="22"/>
        </w:rPr>
        <w:t>e</w:t>
      </w:r>
      <w:r w:rsidR="0038658E">
        <w:rPr>
          <w:rFonts w:cs="Times New Roman"/>
          <w:szCs w:val="22"/>
        </w:rPr>
        <w:t xml:space="preserve">l arriendo </w:t>
      </w:r>
      <w:r w:rsidR="00826C8F">
        <w:rPr>
          <w:rFonts w:cs="Times New Roman"/>
          <w:szCs w:val="22"/>
        </w:rPr>
        <w:t>de activos públicos</w:t>
      </w:r>
      <w:r w:rsidR="0038658E">
        <w:rPr>
          <w:rFonts w:cs="Times New Roman"/>
          <w:szCs w:val="22"/>
        </w:rPr>
        <w:t xml:space="preserve"> naturales</w:t>
      </w:r>
      <w:r w:rsidR="003C209A">
        <w:rPr>
          <w:rFonts w:cs="Times New Roman"/>
          <w:szCs w:val="22"/>
        </w:rPr>
        <w:t xml:space="preserve"> y</w:t>
      </w:r>
      <w:r w:rsidR="00BD6408">
        <w:rPr>
          <w:rFonts w:cs="Times New Roman"/>
          <w:szCs w:val="22"/>
        </w:rPr>
        <w:t xml:space="preserve"> la venta de derechos administrativos</w:t>
      </w:r>
      <w:r w:rsidR="000C3E95">
        <w:rPr>
          <w:rFonts w:cs="Times New Roman"/>
          <w:szCs w:val="22"/>
        </w:rPr>
        <w:t xml:space="preserve">, solamente </w:t>
      </w:r>
      <w:r w:rsidR="0074248F">
        <w:rPr>
          <w:rFonts w:cs="Times New Roman"/>
          <w:szCs w:val="22"/>
        </w:rPr>
        <w:t>las multas, sanciones pecuniarias y los depósitos experimentaron variaciones interanuales positivas en este subgrupo.</w:t>
      </w:r>
    </w:p>
    <w:p w14:paraId="59B0B052" w14:textId="52900F6E" w:rsidR="001023B3" w:rsidRPr="00AC1506" w:rsidRDefault="009964BB" w:rsidP="001023B3">
      <w:pPr>
        <w:jc w:val="left"/>
      </w:pPr>
      <w:r w:rsidRPr="00AC1506">
        <w:rPr>
          <w:noProof/>
          <w:lang w:eastAsia="es-GT"/>
        </w:rPr>
        <w:drawing>
          <wp:inline distT="0" distB="0" distL="0" distR="0" wp14:anchorId="7BACCC78" wp14:editId="23DBA552">
            <wp:extent cx="5971540" cy="1525803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E52AD4" w14:textId="77777777" w:rsidR="001E4C34" w:rsidRPr="00AC1506" w:rsidRDefault="001E4C34" w:rsidP="001E4C34">
      <w:pPr>
        <w:pStyle w:val="Prrafodelista"/>
        <w:ind w:left="0"/>
        <w:jc w:val="left"/>
      </w:pPr>
      <w:r w:rsidRPr="00AC1506">
        <w:t>*Cifras preliminares</w:t>
      </w:r>
    </w:p>
    <w:p w14:paraId="0BA8FB15" w14:textId="77777777" w:rsidR="001E4C34" w:rsidRPr="00AC1506" w:rsidRDefault="001E4C34" w:rsidP="001E4C34">
      <w:pPr>
        <w:pStyle w:val="Prrafodelista"/>
        <w:ind w:left="0"/>
        <w:jc w:val="left"/>
      </w:pPr>
      <w:r w:rsidRPr="00AC1506">
        <w:t xml:space="preserve"> Fuente: MINFIN</w:t>
      </w:r>
    </w:p>
    <w:p w14:paraId="781661F0" w14:textId="77777777" w:rsidR="00EA6C6E" w:rsidRPr="00AC1506" w:rsidRDefault="00EA6C6E" w:rsidP="00EC1BCA">
      <w:pPr>
        <w:pStyle w:val="Prrafodelista"/>
        <w:jc w:val="left"/>
      </w:pPr>
    </w:p>
    <w:p w14:paraId="2AF07344" w14:textId="56C52B3D" w:rsidR="00E66A98" w:rsidRPr="00AC1506" w:rsidRDefault="0027790A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7" w:name="_Toc71108051"/>
      <w:r>
        <w:rPr>
          <w:rFonts w:ascii="Times New Roman" w:hAnsi="Times New Roman" w:cs="Times New Roman"/>
          <w:color w:val="auto"/>
          <w:sz w:val="24"/>
        </w:rPr>
        <w:t xml:space="preserve">Los </w:t>
      </w:r>
      <w:r w:rsidR="00962437">
        <w:rPr>
          <w:rFonts w:ascii="Times New Roman" w:hAnsi="Times New Roman" w:cs="Times New Roman"/>
          <w:color w:val="auto"/>
          <w:sz w:val="24"/>
        </w:rPr>
        <w:t>i</w:t>
      </w:r>
      <w:r>
        <w:rPr>
          <w:rFonts w:ascii="Times New Roman" w:hAnsi="Times New Roman" w:cs="Times New Roman"/>
          <w:color w:val="auto"/>
          <w:sz w:val="24"/>
        </w:rPr>
        <w:t xml:space="preserve">mpuestos </w:t>
      </w:r>
      <w:r w:rsidR="00962437">
        <w:rPr>
          <w:rFonts w:ascii="Times New Roman" w:hAnsi="Times New Roman" w:cs="Times New Roman"/>
          <w:color w:val="auto"/>
          <w:sz w:val="24"/>
        </w:rPr>
        <w:t>muestran buen dinamismo</w:t>
      </w:r>
      <w:r w:rsidR="00822B1E"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en el primer trimestre 2021</w:t>
      </w:r>
      <w:bookmarkEnd w:id="47"/>
    </w:p>
    <w:p w14:paraId="25A57EC6" w14:textId="1A791302" w:rsidR="00EA6D15" w:rsidRDefault="00CE6542" w:rsidP="00B304F3">
      <w:pPr>
        <w:pStyle w:val="Prrafodelista"/>
        <w:ind w:left="0"/>
        <w:rPr>
          <w:sz w:val="22"/>
        </w:rPr>
      </w:pPr>
      <w:r w:rsidRPr="00DC74C2">
        <w:rPr>
          <w:noProof/>
          <w:sz w:val="22"/>
          <w:lang w:eastAsia="es-GT"/>
        </w:rPr>
        <w:drawing>
          <wp:anchor distT="0" distB="0" distL="114300" distR="114300" simplePos="0" relativeHeight="251658244" behindDoc="0" locked="0" layoutInCell="1" allowOverlap="1" wp14:anchorId="63261D0C" wp14:editId="61719CC2">
            <wp:simplePos x="0" y="0"/>
            <wp:positionH relativeFrom="margin">
              <wp:posOffset>2914015</wp:posOffset>
            </wp:positionH>
            <wp:positionV relativeFrom="paragraph">
              <wp:posOffset>2540</wp:posOffset>
            </wp:positionV>
            <wp:extent cx="3051810" cy="3630295"/>
            <wp:effectExtent l="0" t="0" r="15240" b="8255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50">
        <w:rPr>
          <w:sz w:val="22"/>
        </w:rPr>
        <w:t>Los</w:t>
      </w:r>
      <w:r w:rsidR="00745A36">
        <w:rPr>
          <w:sz w:val="22"/>
        </w:rPr>
        <w:t xml:space="preserve"> ingresos por</w:t>
      </w:r>
      <w:r w:rsidR="003D7250">
        <w:rPr>
          <w:sz w:val="22"/>
        </w:rPr>
        <w:t xml:space="preserve"> </w:t>
      </w:r>
      <w:r w:rsidR="006C56DA">
        <w:rPr>
          <w:sz w:val="22"/>
        </w:rPr>
        <w:t>impuestos</w:t>
      </w:r>
      <w:r w:rsidR="00F153ED">
        <w:rPr>
          <w:sz w:val="22"/>
        </w:rPr>
        <w:t xml:space="preserve"> al mes de marzo ascienden a</w:t>
      </w:r>
      <w:r w:rsidR="00EA776C">
        <w:rPr>
          <w:sz w:val="22"/>
        </w:rPr>
        <w:t xml:space="preserve"> Q17,629.5 millones, siendo un </w:t>
      </w:r>
      <w:r w:rsidR="00D3730C">
        <w:rPr>
          <w:sz w:val="22"/>
        </w:rPr>
        <w:t>incremento interanual</w:t>
      </w:r>
      <w:r w:rsidR="00EA776C">
        <w:rPr>
          <w:sz w:val="22"/>
        </w:rPr>
        <w:t xml:space="preserve"> del </w:t>
      </w:r>
      <w:r w:rsidR="00D3730C">
        <w:rPr>
          <w:sz w:val="22"/>
        </w:rPr>
        <w:t>22.9%</w:t>
      </w:r>
      <w:r w:rsidR="00F153ED">
        <w:rPr>
          <w:sz w:val="22"/>
        </w:rPr>
        <w:t xml:space="preserve"> </w:t>
      </w:r>
      <w:r w:rsidR="00D3730C">
        <w:rPr>
          <w:sz w:val="22"/>
        </w:rPr>
        <w:t>(</w:t>
      </w:r>
      <w:r w:rsidR="00EA776C">
        <w:rPr>
          <w:sz w:val="22"/>
        </w:rPr>
        <w:t>Q3,282.1 millones</w:t>
      </w:r>
      <w:r w:rsidR="00D3730C">
        <w:rPr>
          <w:sz w:val="22"/>
        </w:rPr>
        <w:t>)</w:t>
      </w:r>
      <w:r w:rsidR="00DC74C2" w:rsidRPr="0060606D">
        <w:rPr>
          <w:sz w:val="22"/>
        </w:rPr>
        <w:t>.</w:t>
      </w:r>
      <w:r w:rsidR="00D3730C">
        <w:rPr>
          <w:sz w:val="22"/>
        </w:rPr>
        <w:t xml:space="preserve"> </w:t>
      </w:r>
      <w:r w:rsidR="001718B6">
        <w:rPr>
          <w:sz w:val="22"/>
        </w:rPr>
        <w:t>Una de las p</w:t>
      </w:r>
      <w:r w:rsidR="00567671">
        <w:rPr>
          <w:sz w:val="22"/>
        </w:rPr>
        <w:t>rincipal</w:t>
      </w:r>
      <w:r w:rsidR="001718B6">
        <w:rPr>
          <w:sz w:val="22"/>
        </w:rPr>
        <w:t>es</w:t>
      </w:r>
      <w:r w:rsidR="00567671">
        <w:rPr>
          <w:sz w:val="22"/>
        </w:rPr>
        <w:t xml:space="preserve"> </w:t>
      </w:r>
      <w:r w:rsidR="00A775F0">
        <w:rPr>
          <w:sz w:val="22"/>
        </w:rPr>
        <w:t>razones</w:t>
      </w:r>
      <w:r w:rsidR="00762831">
        <w:rPr>
          <w:sz w:val="22"/>
        </w:rPr>
        <w:t xml:space="preserve"> del </w:t>
      </w:r>
      <w:r w:rsidR="00567671">
        <w:rPr>
          <w:sz w:val="22"/>
        </w:rPr>
        <w:t xml:space="preserve">incremento </w:t>
      </w:r>
      <w:r w:rsidR="00263E10">
        <w:rPr>
          <w:sz w:val="22"/>
        </w:rPr>
        <w:t xml:space="preserve">se </w:t>
      </w:r>
      <w:r w:rsidR="00175DBD">
        <w:rPr>
          <w:sz w:val="22"/>
        </w:rPr>
        <w:t>atribuye</w:t>
      </w:r>
      <w:r w:rsidR="00263E10">
        <w:rPr>
          <w:sz w:val="22"/>
        </w:rPr>
        <w:t xml:space="preserve"> a </w:t>
      </w:r>
      <w:r w:rsidR="00567671">
        <w:rPr>
          <w:sz w:val="22"/>
        </w:rPr>
        <w:t xml:space="preserve">los impuestos sobre </w:t>
      </w:r>
      <w:r w:rsidR="00B304F3">
        <w:rPr>
          <w:sz w:val="22"/>
        </w:rPr>
        <w:t xml:space="preserve">los bienes y servicios, los cuales ascienden </w:t>
      </w:r>
      <w:r w:rsidR="00AD0810">
        <w:rPr>
          <w:sz w:val="22"/>
        </w:rPr>
        <w:t>a Q10,455.2 millones</w:t>
      </w:r>
      <w:r w:rsidR="00962437">
        <w:rPr>
          <w:sz w:val="22"/>
        </w:rPr>
        <w:t xml:space="preserve">, mostrando </w:t>
      </w:r>
      <w:r w:rsidR="00E0786A">
        <w:rPr>
          <w:sz w:val="22"/>
        </w:rPr>
        <w:t>una variación interanual de</w:t>
      </w:r>
      <w:r w:rsidR="003338F1">
        <w:rPr>
          <w:sz w:val="22"/>
        </w:rPr>
        <w:t>l 22.</w:t>
      </w:r>
      <w:r w:rsidR="00EC0050">
        <w:rPr>
          <w:sz w:val="22"/>
        </w:rPr>
        <w:t>6</w:t>
      </w:r>
      <w:r w:rsidR="003338F1">
        <w:rPr>
          <w:sz w:val="22"/>
        </w:rPr>
        <w:t>% (</w:t>
      </w:r>
      <w:r w:rsidR="009B09C5">
        <w:rPr>
          <w:sz w:val="22"/>
        </w:rPr>
        <w:t>Q1,928.3 millones)</w:t>
      </w:r>
      <w:r w:rsidR="00F405F8">
        <w:rPr>
          <w:sz w:val="22"/>
        </w:rPr>
        <w:t xml:space="preserve"> </w:t>
      </w:r>
      <w:r w:rsidR="004C4809">
        <w:rPr>
          <w:sz w:val="22"/>
        </w:rPr>
        <w:t>y entre este grupo</w:t>
      </w:r>
      <w:r w:rsidR="00962437">
        <w:rPr>
          <w:sz w:val="22"/>
        </w:rPr>
        <w:t xml:space="preserve"> </w:t>
      </w:r>
      <w:r w:rsidR="004C4809">
        <w:rPr>
          <w:sz w:val="22"/>
        </w:rPr>
        <w:t xml:space="preserve">destaca </w:t>
      </w:r>
      <w:r w:rsidR="00F72238">
        <w:rPr>
          <w:sz w:val="22"/>
        </w:rPr>
        <w:t>e</w:t>
      </w:r>
      <w:r w:rsidR="00F800D4">
        <w:rPr>
          <w:sz w:val="22"/>
        </w:rPr>
        <w:t>l subgrupo de impuestos generales sobre bienes y servicios (</w:t>
      </w:r>
      <w:r w:rsidR="00A93CCA">
        <w:rPr>
          <w:sz w:val="22"/>
        </w:rPr>
        <w:t xml:space="preserve">en el cual se incluye al </w:t>
      </w:r>
      <w:r w:rsidR="00F800D4">
        <w:rPr>
          <w:sz w:val="22"/>
        </w:rPr>
        <w:t xml:space="preserve">IVA) </w:t>
      </w:r>
      <w:r w:rsidR="00B20F9F">
        <w:rPr>
          <w:sz w:val="22"/>
        </w:rPr>
        <w:t>el cual tuvo un incremento del 24.9% (Q1,691.1 millones)</w:t>
      </w:r>
      <w:r w:rsidR="00343A1D">
        <w:rPr>
          <w:sz w:val="22"/>
        </w:rPr>
        <w:t>.</w:t>
      </w:r>
    </w:p>
    <w:p w14:paraId="7E4227BF" w14:textId="4AFBD4A1" w:rsidR="00343A1D" w:rsidRDefault="00343A1D" w:rsidP="00B304F3">
      <w:pPr>
        <w:pStyle w:val="Prrafodelista"/>
        <w:ind w:left="0"/>
        <w:rPr>
          <w:sz w:val="22"/>
        </w:rPr>
      </w:pPr>
    </w:p>
    <w:p w14:paraId="56AF5007" w14:textId="360CC5C1" w:rsidR="00A15AEB" w:rsidRDefault="00B474DB" w:rsidP="00F55D61">
      <w:r>
        <w:t>L</w:t>
      </w:r>
      <w:r w:rsidR="007F2F65">
        <w:t>os impuestos sob</w:t>
      </w:r>
      <w:r w:rsidR="006166E9">
        <w:t>r</w:t>
      </w:r>
      <w:r w:rsidR="007F2F65">
        <w:t>e el ingreso, las utilidades y las ganancias de capital también experimentaron variaciones positivas</w:t>
      </w:r>
      <w:r w:rsidR="001F5A10">
        <w:t>, alcanzando una recaudación acumulada de Q6,271.4 millones</w:t>
      </w:r>
      <w:r w:rsidR="00D22202">
        <w:t xml:space="preserve"> en el primer trimestre </w:t>
      </w:r>
      <w:r w:rsidR="00BB55F5">
        <w:t xml:space="preserve">mostrando </w:t>
      </w:r>
      <w:r w:rsidR="00D22202">
        <w:t xml:space="preserve">un </w:t>
      </w:r>
      <w:r w:rsidR="0028513C">
        <w:t xml:space="preserve">crecimiento interanual </w:t>
      </w:r>
      <w:r w:rsidR="00D22202">
        <w:t xml:space="preserve">acumulado </w:t>
      </w:r>
      <w:r w:rsidR="0028513C">
        <w:t xml:space="preserve">del </w:t>
      </w:r>
      <w:r w:rsidR="00F02A14">
        <w:t>25.3% (Q1,266.3 millones</w:t>
      </w:r>
      <w:r w:rsidR="006166E9">
        <w:t>)</w:t>
      </w:r>
      <w:r w:rsidR="00592F6D">
        <w:t xml:space="preserve"> producido principalmente por </w:t>
      </w:r>
      <w:r w:rsidR="00302799">
        <w:t>el impuesto pagadero por sociedades y otras empresas, el cual tuvo una variación interanual acumulada de</w:t>
      </w:r>
      <w:r w:rsidR="00EE1921">
        <w:t>l 27.7% equivalente a Q1,189.0 millones.</w:t>
      </w:r>
    </w:p>
    <w:p w14:paraId="50A532A4" w14:textId="6C949AA3" w:rsidR="009D7455" w:rsidRDefault="009D7455" w:rsidP="00F55D61"/>
    <w:p w14:paraId="1BFD4FFC" w14:textId="230B432C" w:rsidR="009D7455" w:rsidRPr="00AC1506" w:rsidRDefault="00AD6572" w:rsidP="00F55D61">
      <w:r>
        <w:t xml:space="preserve">Los impuestos sobre el comercio y las transacciones internacionales </w:t>
      </w:r>
      <w:r w:rsidR="00071109">
        <w:t xml:space="preserve">ascienden a un total de Q770.4 millones, </w:t>
      </w:r>
      <w:r w:rsidR="00F33A2E">
        <w:t xml:space="preserve">equivalente a </w:t>
      </w:r>
      <w:r w:rsidR="00071109">
        <w:t xml:space="preserve">un incremento interanual del </w:t>
      </w:r>
      <w:r w:rsidR="007170CB">
        <w:t>8.4% (Q59.8 millones)</w:t>
      </w:r>
      <w:r w:rsidR="00942B44">
        <w:t xml:space="preserve"> siendo los </w:t>
      </w:r>
      <w:r w:rsidR="00663B82">
        <w:t>derechos de aduana y otros derechos de importación (</w:t>
      </w:r>
      <w:r w:rsidR="00AD4719">
        <w:t xml:space="preserve">incluye los </w:t>
      </w:r>
      <w:r w:rsidR="00663B82">
        <w:t>DAI</w:t>
      </w:r>
      <w:r w:rsidR="00AD4719">
        <w:t xml:space="preserve">) el principal causante de este incremento, observándose una tasa de crecimiento interanual del </w:t>
      </w:r>
      <w:r w:rsidR="008D4AB4">
        <w:t>18.5% (Q</w:t>
      </w:r>
      <w:r w:rsidR="005D3B6B">
        <w:t>115.5</w:t>
      </w:r>
      <w:r w:rsidR="008D4AB4">
        <w:t xml:space="preserve"> millones)</w:t>
      </w:r>
      <w:r w:rsidR="005D3B6B">
        <w:t xml:space="preserve"> mientras que los otros impuestos sobre el comercio y las transacciones </w:t>
      </w:r>
      <w:r w:rsidR="00CA2282">
        <w:t>internacionales</w:t>
      </w:r>
      <w:r w:rsidR="004544F8">
        <w:t xml:space="preserve"> (</w:t>
      </w:r>
      <w:r w:rsidR="00F33A2E">
        <w:t>I</w:t>
      </w:r>
      <w:r w:rsidR="00E3258D">
        <w:t xml:space="preserve">mpuesto sobre </w:t>
      </w:r>
      <w:r w:rsidR="004544F8">
        <w:t>Salida del país)</w:t>
      </w:r>
      <w:r w:rsidR="00CA2282">
        <w:t xml:space="preserve"> experimento una variación interanual negativa del 64.9% (</w:t>
      </w:r>
      <w:r w:rsidR="000B29FE">
        <w:t>Q55.8 millones)</w:t>
      </w:r>
      <w:r w:rsidR="00BB55F5">
        <w:t xml:space="preserve"> derivado de las medidas de distanciamiento social y el temor del publico por el contagio del COVID-19.</w:t>
      </w:r>
    </w:p>
    <w:p w14:paraId="30745792" w14:textId="068D8141" w:rsidR="00A15AEB" w:rsidRDefault="00A15AEB" w:rsidP="006B682E"/>
    <w:p w14:paraId="7DA4567A" w14:textId="2C1E9CF8" w:rsidR="00477C22" w:rsidRDefault="00750388" w:rsidP="006B682E">
      <w:r>
        <w:t>Por su parte</w:t>
      </w:r>
      <w:r w:rsidR="00477C22">
        <w:t>,</w:t>
      </w:r>
      <w:r w:rsidR="00F11A28" w:rsidRPr="00F11A28">
        <w:t xml:space="preserve"> </w:t>
      </w:r>
      <w:r w:rsidR="00F11A28">
        <w:t>la categoría de otros impuestos</w:t>
      </w:r>
      <w:r w:rsidR="001B1571">
        <w:t xml:space="preserve"> (contiene </w:t>
      </w:r>
      <w:r w:rsidR="008C1BC5">
        <w:t>Timbres Fiscales)</w:t>
      </w:r>
      <w:r w:rsidR="00477C22">
        <w:t xml:space="preserve"> </w:t>
      </w:r>
      <w:r w:rsidR="00F11A28">
        <w:t xml:space="preserve">asciende a </w:t>
      </w:r>
      <w:r w:rsidR="00E602E2">
        <w:t>126.1 millones con una variación interanual del 26.9% (Q26.7</w:t>
      </w:r>
      <w:r w:rsidR="002E350E">
        <w:t xml:space="preserve"> millones) mientras que </w:t>
      </w:r>
      <w:r w:rsidR="00477C22">
        <w:t xml:space="preserve">los impuestos </w:t>
      </w:r>
      <w:r w:rsidR="00066095">
        <w:t>sobre la propiedad</w:t>
      </w:r>
      <w:r w:rsidR="00D20A4A">
        <w:t xml:space="preserve"> ascienden a un total de Q6.4 millones con una variación interanual del 18.1% (Q1.0 millones)</w:t>
      </w:r>
      <w:r w:rsidR="002E350E">
        <w:t>.</w:t>
      </w:r>
    </w:p>
    <w:p w14:paraId="2D78A585" w14:textId="0872A77A" w:rsidR="009F544F" w:rsidRDefault="009F544F" w:rsidP="006B682E"/>
    <w:p w14:paraId="318FA3BA" w14:textId="6E88D715" w:rsidR="009F544F" w:rsidRDefault="009F544F" w:rsidP="006B682E"/>
    <w:p w14:paraId="12B02988" w14:textId="0B360546" w:rsidR="009F544F" w:rsidRDefault="009F544F" w:rsidP="006B682E"/>
    <w:p w14:paraId="3275111E" w14:textId="501E78B3" w:rsidR="009F544F" w:rsidRDefault="009F544F" w:rsidP="006B682E"/>
    <w:p w14:paraId="3C094BD6" w14:textId="4BAF1E4B" w:rsidR="009F544F" w:rsidRDefault="009F544F" w:rsidP="006B682E"/>
    <w:p w14:paraId="1829FD03" w14:textId="1DDC26CC" w:rsidR="009F544F" w:rsidRDefault="009F544F" w:rsidP="006B682E"/>
    <w:p w14:paraId="21C91742" w14:textId="3A8E0CD4" w:rsidR="009F544F" w:rsidRDefault="009F544F" w:rsidP="006B682E"/>
    <w:p w14:paraId="768EF049" w14:textId="64A52777" w:rsidR="009F544F" w:rsidRDefault="009F544F" w:rsidP="006B682E"/>
    <w:p w14:paraId="2EE7DF51" w14:textId="106EED29" w:rsidR="009F544F" w:rsidRDefault="009F544F" w:rsidP="006B682E"/>
    <w:p w14:paraId="0A8D035B" w14:textId="5EC67C25" w:rsidR="009F544F" w:rsidRDefault="009F544F" w:rsidP="006B682E"/>
    <w:p w14:paraId="7F957938" w14:textId="24585B1F" w:rsidR="009F544F" w:rsidRDefault="009F544F" w:rsidP="006B682E"/>
    <w:p w14:paraId="6CAC7ED0" w14:textId="3089E780" w:rsidR="009F544F" w:rsidRDefault="009F544F" w:rsidP="006B682E"/>
    <w:p w14:paraId="3582EFBE" w14:textId="7B34287B" w:rsidR="009F544F" w:rsidRDefault="009F544F" w:rsidP="006B682E"/>
    <w:p w14:paraId="1B01FC6F" w14:textId="77777777" w:rsidR="009F544F" w:rsidRDefault="009F544F" w:rsidP="006B682E"/>
    <w:p w14:paraId="2874CBAB" w14:textId="23B63691" w:rsidR="009F544F" w:rsidRDefault="009F544F" w:rsidP="006B682E"/>
    <w:p w14:paraId="2F8B2438" w14:textId="736D3C38" w:rsidR="00E66A98" w:rsidRPr="00AC1506" w:rsidRDefault="00E66A98" w:rsidP="00E66A98">
      <w:pPr>
        <w:pStyle w:val="Prrafodelista"/>
        <w:numPr>
          <w:ilvl w:val="0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48" w:name="_Toc31612759"/>
      <w:bookmarkStart w:id="49" w:name="_Toc31612791"/>
      <w:bookmarkStart w:id="50" w:name="_Toc31614817"/>
      <w:bookmarkStart w:id="51" w:name="_Toc31614849"/>
      <w:bookmarkStart w:id="52" w:name="_Toc31618686"/>
      <w:bookmarkStart w:id="53" w:name="_Toc31618719"/>
      <w:bookmarkStart w:id="54" w:name="_Toc31624495"/>
      <w:bookmarkStart w:id="55" w:name="_Toc31625347"/>
      <w:bookmarkStart w:id="56" w:name="_Toc31626802"/>
      <w:bookmarkStart w:id="57" w:name="_Toc31811253"/>
      <w:bookmarkStart w:id="58" w:name="_Toc31811698"/>
      <w:bookmarkStart w:id="59" w:name="_Toc31971861"/>
      <w:bookmarkStart w:id="60" w:name="_Toc32230883"/>
      <w:bookmarkStart w:id="61" w:name="_Toc33109782"/>
      <w:bookmarkStart w:id="62" w:name="_Toc33109825"/>
      <w:bookmarkStart w:id="63" w:name="_Toc33180546"/>
      <w:bookmarkStart w:id="64" w:name="_Toc33180640"/>
      <w:bookmarkStart w:id="65" w:name="_Toc33193537"/>
      <w:bookmarkStart w:id="66" w:name="_Toc33193576"/>
      <w:bookmarkStart w:id="67" w:name="_Toc33196773"/>
      <w:bookmarkStart w:id="68" w:name="_Toc40691749"/>
      <w:bookmarkStart w:id="69" w:name="_Toc40959152"/>
      <w:bookmarkStart w:id="70" w:name="_Toc40975986"/>
      <w:bookmarkStart w:id="71" w:name="_Toc40976055"/>
      <w:bookmarkStart w:id="72" w:name="_Toc40993310"/>
      <w:bookmarkStart w:id="73" w:name="_Toc40993692"/>
      <w:bookmarkStart w:id="74" w:name="_Toc41037568"/>
      <w:bookmarkStart w:id="75" w:name="_Toc41254128"/>
      <w:bookmarkStart w:id="76" w:name="_Toc41254160"/>
      <w:bookmarkStart w:id="77" w:name="_Toc41254180"/>
      <w:bookmarkStart w:id="78" w:name="_Toc42023953"/>
      <w:bookmarkStart w:id="79" w:name="_Toc42024006"/>
      <w:bookmarkStart w:id="80" w:name="_Toc42069104"/>
      <w:bookmarkStart w:id="81" w:name="_Toc49422050"/>
      <w:bookmarkStart w:id="82" w:name="_Toc49422076"/>
      <w:bookmarkStart w:id="83" w:name="_Toc49430655"/>
      <w:bookmarkStart w:id="84" w:name="_Toc49430681"/>
      <w:bookmarkStart w:id="85" w:name="_Toc49750458"/>
      <w:bookmarkStart w:id="86" w:name="_Toc49750708"/>
      <w:bookmarkStart w:id="87" w:name="_Toc49750736"/>
      <w:bookmarkStart w:id="88" w:name="_Toc55284822"/>
      <w:bookmarkStart w:id="89" w:name="_Toc55298840"/>
      <w:bookmarkStart w:id="90" w:name="_Toc55373821"/>
      <w:bookmarkStart w:id="91" w:name="_Toc55373994"/>
      <w:bookmarkStart w:id="92" w:name="_Toc55375131"/>
      <w:bookmarkStart w:id="93" w:name="_Toc55396539"/>
      <w:bookmarkStart w:id="94" w:name="_Toc65230535"/>
      <w:bookmarkStart w:id="95" w:name="_Toc65230773"/>
      <w:bookmarkStart w:id="96" w:name="_Toc65232057"/>
      <w:bookmarkStart w:id="97" w:name="_Toc65232302"/>
      <w:bookmarkStart w:id="98" w:name="_Toc66716161"/>
      <w:bookmarkStart w:id="99" w:name="_Toc71097206"/>
      <w:bookmarkStart w:id="100" w:name="_Toc71097237"/>
      <w:bookmarkStart w:id="101" w:name="_Toc71097312"/>
      <w:bookmarkStart w:id="102" w:name="_Toc71108052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7F93F28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03" w:name="_Toc31612760"/>
      <w:bookmarkStart w:id="104" w:name="_Toc31612792"/>
      <w:bookmarkStart w:id="105" w:name="_Toc31614818"/>
      <w:bookmarkStart w:id="106" w:name="_Toc31614850"/>
      <w:bookmarkStart w:id="107" w:name="_Toc31618687"/>
      <w:bookmarkStart w:id="108" w:name="_Toc31618720"/>
      <w:bookmarkStart w:id="109" w:name="_Toc31624496"/>
      <w:bookmarkStart w:id="110" w:name="_Toc31625348"/>
      <w:bookmarkStart w:id="111" w:name="_Toc31626803"/>
      <w:bookmarkStart w:id="112" w:name="_Toc31811254"/>
      <w:bookmarkStart w:id="113" w:name="_Toc31811699"/>
      <w:bookmarkStart w:id="114" w:name="_Toc31971862"/>
      <w:bookmarkStart w:id="115" w:name="_Toc32230884"/>
      <w:bookmarkStart w:id="116" w:name="_Toc33109783"/>
      <w:bookmarkStart w:id="117" w:name="_Toc33109826"/>
      <w:bookmarkStart w:id="118" w:name="_Toc33180547"/>
      <w:bookmarkStart w:id="119" w:name="_Toc33180641"/>
      <w:bookmarkStart w:id="120" w:name="_Toc33193538"/>
      <w:bookmarkStart w:id="121" w:name="_Toc33193577"/>
      <w:bookmarkStart w:id="122" w:name="_Toc33196774"/>
      <w:bookmarkStart w:id="123" w:name="_Toc40691750"/>
      <w:bookmarkStart w:id="124" w:name="_Toc40959153"/>
      <w:bookmarkStart w:id="125" w:name="_Toc40975987"/>
      <w:bookmarkStart w:id="126" w:name="_Toc40976056"/>
      <w:bookmarkStart w:id="127" w:name="_Toc40993311"/>
      <w:bookmarkStart w:id="128" w:name="_Toc40993693"/>
      <w:bookmarkStart w:id="129" w:name="_Toc41037569"/>
      <w:bookmarkStart w:id="130" w:name="_Toc41254129"/>
      <w:bookmarkStart w:id="131" w:name="_Toc41254161"/>
      <w:bookmarkStart w:id="132" w:name="_Toc41254181"/>
      <w:bookmarkStart w:id="133" w:name="_Toc42023954"/>
      <w:bookmarkStart w:id="134" w:name="_Toc42024007"/>
      <w:bookmarkStart w:id="135" w:name="_Toc42069105"/>
      <w:bookmarkStart w:id="136" w:name="_Toc49422051"/>
      <w:bookmarkStart w:id="137" w:name="_Toc49422077"/>
      <w:bookmarkStart w:id="138" w:name="_Toc49430656"/>
      <w:bookmarkStart w:id="139" w:name="_Toc49430682"/>
      <w:bookmarkStart w:id="140" w:name="_Toc49750459"/>
      <w:bookmarkStart w:id="141" w:name="_Toc49750709"/>
      <w:bookmarkStart w:id="142" w:name="_Toc49750737"/>
      <w:bookmarkStart w:id="143" w:name="_Toc55284823"/>
      <w:bookmarkStart w:id="144" w:name="_Toc55298841"/>
      <w:bookmarkStart w:id="145" w:name="_Toc55373822"/>
      <w:bookmarkStart w:id="146" w:name="_Toc55373995"/>
      <w:bookmarkStart w:id="147" w:name="_Toc55375132"/>
      <w:bookmarkStart w:id="148" w:name="_Toc55396540"/>
      <w:bookmarkStart w:id="149" w:name="_Toc65230536"/>
      <w:bookmarkStart w:id="150" w:name="_Toc65230774"/>
      <w:bookmarkStart w:id="151" w:name="_Toc65232058"/>
      <w:bookmarkStart w:id="152" w:name="_Toc65232303"/>
      <w:bookmarkStart w:id="153" w:name="_Toc66716162"/>
      <w:bookmarkStart w:id="154" w:name="_Toc71097207"/>
      <w:bookmarkStart w:id="155" w:name="_Toc71097238"/>
      <w:bookmarkStart w:id="156" w:name="_Toc71097313"/>
      <w:bookmarkStart w:id="157" w:name="_Toc71108053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7FF88797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58" w:name="_Toc31612761"/>
      <w:bookmarkStart w:id="159" w:name="_Toc31612793"/>
      <w:bookmarkStart w:id="160" w:name="_Toc31614819"/>
      <w:bookmarkStart w:id="161" w:name="_Toc31614851"/>
      <w:bookmarkStart w:id="162" w:name="_Toc31618688"/>
      <w:bookmarkStart w:id="163" w:name="_Toc31618721"/>
      <w:bookmarkStart w:id="164" w:name="_Toc31624497"/>
      <w:bookmarkStart w:id="165" w:name="_Toc31625349"/>
      <w:bookmarkStart w:id="166" w:name="_Toc31626804"/>
      <w:bookmarkStart w:id="167" w:name="_Toc31811255"/>
      <w:bookmarkStart w:id="168" w:name="_Toc31811700"/>
      <w:bookmarkStart w:id="169" w:name="_Toc31971863"/>
      <w:bookmarkStart w:id="170" w:name="_Toc32230885"/>
      <w:bookmarkStart w:id="171" w:name="_Toc33109784"/>
      <w:bookmarkStart w:id="172" w:name="_Toc33109827"/>
      <w:bookmarkStart w:id="173" w:name="_Toc33180548"/>
      <w:bookmarkStart w:id="174" w:name="_Toc33180642"/>
      <w:bookmarkStart w:id="175" w:name="_Toc33193539"/>
      <w:bookmarkStart w:id="176" w:name="_Toc33193578"/>
      <w:bookmarkStart w:id="177" w:name="_Toc33196775"/>
      <w:bookmarkStart w:id="178" w:name="_Toc40691751"/>
      <w:bookmarkStart w:id="179" w:name="_Toc40959154"/>
      <w:bookmarkStart w:id="180" w:name="_Toc40975988"/>
      <w:bookmarkStart w:id="181" w:name="_Toc40976057"/>
      <w:bookmarkStart w:id="182" w:name="_Toc40993312"/>
      <w:bookmarkStart w:id="183" w:name="_Toc40993694"/>
      <w:bookmarkStart w:id="184" w:name="_Toc41037570"/>
      <w:bookmarkStart w:id="185" w:name="_Toc41254130"/>
      <w:bookmarkStart w:id="186" w:name="_Toc41254162"/>
      <w:bookmarkStart w:id="187" w:name="_Toc41254182"/>
      <w:bookmarkStart w:id="188" w:name="_Toc42023955"/>
      <w:bookmarkStart w:id="189" w:name="_Toc42024008"/>
      <w:bookmarkStart w:id="190" w:name="_Toc42069106"/>
      <w:bookmarkStart w:id="191" w:name="_Toc49422052"/>
      <w:bookmarkStart w:id="192" w:name="_Toc49422078"/>
      <w:bookmarkStart w:id="193" w:name="_Toc49430657"/>
      <w:bookmarkStart w:id="194" w:name="_Toc49430683"/>
      <w:bookmarkStart w:id="195" w:name="_Toc49750460"/>
      <w:bookmarkStart w:id="196" w:name="_Toc49750710"/>
      <w:bookmarkStart w:id="197" w:name="_Toc49750738"/>
      <w:bookmarkStart w:id="198" w:name="_Toc55284824"/>
      <w:bookmarkStart w:id="199" w:name="_Toc55298842"/>
      <w:bookmarkStart w:id="200" w:name="_Toc55373823"/>
      <w:bookmarkStart w:id="201" w:name="_Toc55373996"/>
      <w:bookmarkStart w:id="202" w:name="_Toc55375133"/>
      <w:bookmarkStart w:id="203" w:name="_Toc55396541"/>
      <w:bookmarkStart w:id="204" w:name="_Toc65230537"/>
      <w:bookmarkStart w:id="205" w:name="_Toc65230775"/>
      <w:bookmarkStart w:id="206" w:name="_Toc65232059"/>
      <w:bookmarkStart w:id="207" w:name="_Toc65232304"/>
      <w:bookmarkStart w:id="208" w:name="_Toc66716163"/>
      <w:bookmarkStart w:id="209" w:name="_Toc71097208"/>
      <w:bookmarkStart w:id="210" w:name="_Toc71097239"/>
      <w:bookmarkStart w:id="211" w:name="_Toc71097314"/>
      <w:bookmarkStart w:id="212" w:name="_Toc71108054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6FAA4490" w14:textId="5F5B6E6D" w:rsidR="008C0B31" w:rsidRPr="00AC1506" w:rsidRDefault="008C0B31" w:rsidP="00BC50A6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213" w:name="_Toc71108055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Gasto Público</w:t>
      </w:r>
      <w:r w:rsidR="00CE4BA6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213"/>
    </w:p>
    <w:p w14:paraId="51A82E17" w14:textId="6CB1A785" w:rsidR="0039614C" w:rsidRDefault="0039614C" w:rsidP="00B57C32">
      <w:pPr>
        <w:rPr>
          <w:rFonts w:eastAsiaTheme="majorEastAsia" w:cs="Times New Roman"/>
          <w:b/>
          <w:bCs/>
          <w:sz w:val="24"/>
          <w:szCs w:val="26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5D3D81E" wp14:editId="7277C91D">
            <wp:extent cx="5836920" cy="948520"/>
            <wp:effectExtent l="76200" t="57150" r="87630" b="4254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2153721" w14:textId="2133B95B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214" w:name="_Toc471986932"/>
      <w:bookmarkStart w:id="215" w:name="_Toc471987067"/>
      <w:bookmarkStart w:id="216" w:name="_Toc471987115"/>
      <w:bookmarkStart w:id="217" w:name="_Toc471987137"/>
      <w:bookmarkStart w:id="218" w:name="_Toc472082165"/>
      <w:bookmarkStart w:id="219" w:name="_Toc472082197"/>
      <w:bookmarkStart w:id="220" w:name="_Toc472089913"/>
      <w:bookmarkStart w:id="221" w:name="_Toc472089936"/>
      <w:bookmarkStart w:id="222" w:name="_Toc505346063"/>
      <w:bookmarkStart w:id="223" w:name="_Toc505349878"/>
      <w:bookmarkStart w:id="224" w:name="_Toc534985836"/>
      <w:bookmarkStart w:id="225" w:name="_Toc534988229"/>
      <w:bookmarkStart w:id="226" w:name="_Toc31611549"/>
      <w:bookmarkStart w:id="227" w:name="_Toc31612768"/>
      <w:bookmarkStart w:id="228" w:name="_Toc31612800"/>
      <w:bookmarkStart w:id="229" w:name="_Toc31614826"/>
      <w:bookmarkStart w:id="230" w:name="_Toc31614858"/>
      <w:bookmarkStart w:id="231" w:name="_Toc31618695"/>
      <w:bookmarkStart w:id="232" w:name="_Toc31618728"/>
      <w:bookmarkStart w:id="233" w:name="_Toc31624504"/>
      <w:bookmarkStart w:id="234" w:name="_Toc31625356"/>
      <w:bookmarkStart w:id="235" w:name="_Toc31626811"/>
      <w:bookmarkStart w:id="236" w:name="_Toc31811262"/>
      <w:bookmarkStart w:id="237" w:name="_Toc31811707"/>
      <w:bookmarkStart w:id="238" w:name="_Toc31971870"/>
      <w:bookmarkStart w:id="239" w:name="_Toc32230892"/>
      <w:bookmarkStart w:id="240" w:name="_Toc33109788"/>
      <w:bookmarkStart w:id="241" w:name="_Toc33109831"/>
      <w:bookmarkStart w:id="242" w:name="_Toc33180552"/>
      <w:bookmarkStart w:id="243" w:name="_Toc33180646"/>
      <w:bookmarkStart w:id="244" w:name="_Toc33193543"/>
      <w:bookmarkStart w:id="245" w:name="_Toc33193582"/>
      <w:bookmarkStart w:id="246" w:name="_Toc33196779"/>
      <w:bookmarkStart w:id="247" w:name="_Toc40691755"/>
      <w:bookmarkStart w:id="248" w:name="_Toc40959156"/>
      <w:bookmarkStart w:id="249" w:name="_Toc40975990"/>
      <w:bookmarkStart w:id="250" w:name="_Toc40976059"/>
      <w:bookmarkStart w:id="251" w:name="_Toc40993314"/>
      <w:bookmarkStart w:id="252" w:name="_Toc40993696"/>
      <w:bookmarkStart w:id="253" w:name="_Toc41037572"/>
      <w:bookmarkStart w:id="254" w:name="_Toc41254132"/>
      <w:bookmarkStart w:id="255" w:name="_Toc41254164"/>
      <w:bookmarkStart w:id="256" w:name="_Toc41254184"/>
      <w:bookmarkStart w:id="257" w:name="_Toc42023958"/>
      <w:bookmarkStart w:id="258" w:name="_Toc42024010"/>
      <w:bookmarkStart w:id="259" w:name="_Toc42069108"/>
      <w:bookmarkStart w:id="260" w:name="_Toc49422054"/>
      <w:bookmarkStart w:id="261" w:name="_Toc49422080"/>
      <w:bookmarkStart w:id="262" w:name="_Toc49430659"/>
      <w:bookmarkStart w:id="263" w:name="_Toc49430685"/>
      <w:bookmarkStart w:id="264" w:name="_Toc49750462"/>
      <w:bookmarkStart w:id="265" w:name="_Toc49750712"/>
      <w:bookmarkStart w:id="266" w:name="_Toc49750740"/>
      <w:bookmarkStart w:id="267" w:name="_Toc55284826"/>
      <w:bookmarkStart w:id="268" w:name="_Toc55298844"/>
      <w:bookmarkStart w:id="269" w:name="_Toc55373825"/>
      <w:bookmarkStart w:id="270" w:name="_Toc55373998"/>
      <w:bookmarkStart w:id="271" w:name="_Toc55375135"/>
      <w:bookmarkStart w:id="272" w:name="_Toc55396543"/>
      <w:bookmarkStart w:id="273" w:name="_Toc65230539"/>
      <w:bookmarkStart w:id="274" w:name="_Toc65230777"/>
      <w:bookmarkStart w:id="275" w:name="_Toc65232061"/>
      <w:bookmarkStart w:id="276" w:name="_Toc65232306"/>
      <w:bookmarkStart w:id="277" w:name="_Toc66716165"/>
      <w:bookmarkStart w:id="278" w:name="_Toc71097210"/>
      <w:bookmarkStart w:id="279" w:name="_Toc71097241"/>
      <w:bookmarkStart w:id="280" w:name="_Toc71097316"/>
      <w:bookmarkStart w:id="281" w:name="_Toc71108056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32F0DFB4" w14:textId="77777777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282" w:name="_Toc472082166"/>
      <w:bookmarkStart w:id="283" w:name="_Toc472082198"/>
      <w:bookmarkStart w:id="284" w:name="_Toc472089914"/>
      <w:bookmarkStart w:id="285" w:name="_Toc472089937"/>
      <w:bookmarkStart w:id="286" w:name="_Toc505346064"/>
      <w:bookmarkStart w:id="287" w:name="_Toc505349879"/>
      <w:bookmarkStart w:id="288" w:name="_Toc534985837"/>
      <w:bookmarkStart w:id="289" w:name="_Toc534988230"/>
      <w:bookmarkStart w:id="290" w:name="_Toc31611550"/>
      <w:bookmarkStart w:id="291" w:name="_Toc31612769"/>
      <w:bookmarkStart w:id="292" w:name="_Toc31612801"/>
      <w:bookmarkStart w:id="293" w:name="_Toc31614827"/>
      <w:bookmarkStart w:id="294" w:name="_Toc31614859"/>
      <w:bookmarkStart w:id="295" w:name="_Toc31618696"/>
      <w:bookmarkStart w:id="296" w:name="_Toc31618729"/>
      <w:bookmarkStart w:id="297" w:name="_Toc31624505"/>
      <w:bookmarkStart w:id="298" w:name="_Toc31625357"/>
      <w:bookmarkStart w:id="299" w:name="_Toc31626812"/>
      <w:bookmarkStart w:id="300" w:name="_Toc31811263"/>
      <w:bookmarkStart w:id="301" w:name="_Toc31811708"/>
      <w:bookmarkStart w:id="302" w:name="_Toc31971871"/>
      <w:bookmarkStart w:id="303" w:name="_Toc32230893"/>
      <w:bookmarkStart w:id="304" w:name="_Toc33109789"/>
      <w:bookmarkStart w:id="305" w:name="_Toc33109832"/>
      <w:bookmarkStart w:id="306" w:name="_Toc33180553"/>
      <w:bookmarkStart w:id="307" w:name="_Toc33180647"/>
      <w:bookmarkStart w:id="308" w:name="_Toc33193544"/>
      <w:bookmarkStart w:id="309" w:name="_Toc33193583"/>
      <w:bookmarkStart w:id="310" w:name="_Toc33196780"/>
      <w:bookmarkStart w:id="311" w:name="_Toc40691756"/>
      <w:bookmarkStart w:id="312" w:name="_Toc40959157"/>
      <w:bookmarkStart w:id="313" w:name="_Toc40975991"/>
      <w:bookmarkStart w:id="314" w:name="_Toc40976060"/>
      <w:bookmarkStart w:id="315" w:name="_Toc40993315"/>
      <w:bookmarkStart w:id="316" w:name="_Toc40993697"/>
      <w:bookmarkStart w:id="317" w:name="_Toc41037573"/>
      <w:bookmarkStart w:id="318" w:name="_Toc41254133"/>
      <w:bookmarkStart w:id="319" w:name="_Toc41254165"/>
      <w:bookmarkStart w:id="320" w:name="_Toc41254185"/>
      <w:bookmarkStart w:id="321" w:name="_Toc42023959"/>
      <w:bookmarkStart w:id="322" w:name="_Toc42024011"/>
      <w:bookmarkStart w:id="323" w:name="_Toc42069109"/>
      <w:bookmarkStart w:id="324" w:name="_Toc49422055"/>
      <w:bookmarkStart w:id="325" w:name="_Toc49422081"/>
      <w:bookmarkStart w:id="326" w:name="_Toc49430660"/>
      <w:bookmarkStart w:id="327" w:name="_Toc49430686"/>
      <w:bookmarkStart w:id="328" w:name="_Toc49750463"/>
      <w:bookmarkStart w:id="329" w:name="_Toc49750713"/>
      <w:bookmarkStart w:id="330" w:name="_Toc49750741"/>
      <w:bookmarkStart w:id="331" w:name="_Toc55284827"/>
      <w:bookmarkStart w:id="332" w:name="_Toc55298845"/>
      <w:bookmarkStart w:id="333" w:name="_Toc55373826"/>
      <w:bookmarkStart w:id="334" w:name="_Toc55373999"/>
      <w:bookmarkStart w:id="335" w:name="_Toc55375136"/>
      <w:bookmarkStart w:id="336" w:name="_Toc55396544"/>
      <w:bookmarkStart w:id="337" w:name="_Toc65230540"/>
      <w:bookmarkStart w:id="338" w:name="_Toc65230778"/>
      <w:bookmarkStart w:id="339" w:name="_Toc65232062"/>
      <w:bookmarkStart w:id="340" w:name="_Toc65232307"/>
      <w:bookmarkStart w:id="341" w:name="_Toc66716166"/>
      <w:bookmarkStart w:id="342" w:name="_Toc71097211"/>
      <w:bookmarkStart w:id="343" w:name="_Toc71097242"/>
      <w:bookmarkStart w:id="344" w:name="_Toc71097317"/>
      <w:bookmarkStart w:id="345" w:name="_Toc71108057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p w14:paraId="70696646" w14:textId="15BDD8D7" w:rsidR="00AF2B4E" w:rsidRPr="008D0075" w:rsidRDefault="00BB55F5" w:rsidP="008C33ED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cs="Times New Roman"/>
          <w:szCs w:val="22"/>
        </w:rPr>
        <w:sectPr w:rsidR="00AF2B4E" w:rsidRPr="008D0075" w:rsidSect="00CB498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 w:code="1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auto"/>
          <w:sz w:val="24"/>
        </w:rPr>
        <w:t>Ejecución de gasto público con leve contracción</w:t>
      </w:r>
    </w:p>
    <w:p w14:paraId="21B7C1BF" w14:textId="0C339C05" w:rsidR="007A1C1D" w:rsidRDefault="00361010" w:rsidP="00CD34D6">
      <w:pPr>
        <w:rPr>
          <w:rFonts w:cs="Times New Roman"/>
          <w:szCs w:val="22"/>
        </w:rPr>
      </w:pPr>
      <w:r w:rsidRPr="00AC1506">
        <w:rPr>
          <w:rFonts w:cs="Times New Roman"/>
          <w:noProof/>
          <w:lang w:eastAsia="es-GT"/>
        </w:rPr>
        <w:drawing>
          <wp:anchor distT="0" distB="0" distL="114300" distR="114300" simplePos="0" relativeHeight="251658247" behindDoc="0" locked="0" layoutInCell="1" allowOverlap="1" wp14:anchorId="3C69339C" wp14:editId="062B0AE4">
            <wp:simplePos x="0" y="0"/>
            <wp:positionH relativeFrom="column">
              <wp:posOffset>2847975</wp:posOffset>
            </wp:positionH>
            <wp:positionV relativeFrom="paragraph">
              <wp:posOffset>3175</wp:posOffset>
            </wp:positionV>
            <wp:extent cx="2845435" cy="1850390"/>
            <wp:effectExtent l="0" t="0" r="0" b="16510"/>
            <wp:wrapSquare wrapText="bothSides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BD54E7">
        <w:rPr>
          <w:rFonts w:cs="Times New Roman"/>
          <w:szCs w:val="22"/>
        </w:rPr>
        <w:t xml:space="preserve">En el primer trimestre del 2021 se observó </w:t>
      </w:r>
      <w:r w:rsidR="00BB55F5">
        <w:rPr>
          <w:rFonts w:cs="Times New Roman"/>
          <w:szCs w:val="22"/>
        </w:rPr>
        <w:t>una baja contracción en la ejecución</w:t>
      </w:r>
      <w:r w:rsidR="00BD54E7">
        <w:rPr>
          <w:rFonts w:cs="Times New Roman"/>
          <w:szCs w:val="22"/>
        </w:rPr>
        <w:t xml:space="preserve"> </w:t>
      </w:r>
      <w:r w:rsidR="00BB55F5">
        <w:rPr>
          <w:rFonts w:cs="Times New Roman"/>
          <w:szCs w:val="22"/>
        </w:rPr>
        <w:t>d</w:t>
      </w:r>
      <w:r w:rsidR="00BD54E7">
        <w:rPr>
          <w:rFonts w:cs="Times New Roman"/>
          <w:szCs w:val="22"/>
        </w:rPr>
        <w:t>el gasto público</w:t>
      </w:r>
      <w:r w:rsidR="006C3577">
        <w:rPr>
          <w:rFonts w:cs="Times New Roman"/>
          <w:szCs w:val="22"/>
        </w:rPr>
        <w:t>,</w:t>
      </w:r>
      <w:r w:rsidR="007F0641">
        <w:rPr>
          <w:rFonts w:cs="Times New Roman"/>
          <w:szCs w:val="22"/>
        </w:rPr>
        <w:t xml:space="preserve"> especialmente durante </w:t>
      </w:r>
      <w:r w:rsidR="007D3827">
        <w:rPr>
          <w:rFonts w:cs="Times New Roman"/>
          <w:szCs w:val="22"/>
        </w:rPr>
        <w:t>marzo</w:t>
      </w:r>
      <w:r w:rsidR="00BC492F">
        <w:rPr>
          <w:rFonts w:cs="Times New Roman"/>
          <w:szCs w:val="22"/>
        </w:rPr>
        <w:t xml:space="preserve">. El gasto total </w:t>
      </w:r>
      <w:r w:rsidR="007D3827">
        <w:rPr>
          <w:rFonts w:cs="Times New Roman"/>
          <w:szCs w:val="22"/>
        </w:rPr>
        <w:t>asciende a Q17,218.8 millones</w:t>
      </w:r>
      <w:r w:rsidR="00F33A2E">
        <w:rPr>
          <w:rFonts w:cs="Times New Roman"/>
          <w:szCs w:val="22"/>
        </w:rPr>
        <w:t>,</w:t>
      </w:r>
      <w:r w:rsidR="007D3827">
        <w:rPr>
          <w:rFonts w:cs="Times New Roman"/>
          <w:szCs w:val="22"/>
        </w:rPr>
        <w:t xml:space="preserve"> </w:t>
      </w:r>
      <w:r w:rsidR="006C3577">
        <w:rPr>
          <w:rFonts w:cs="Times New Roman"/>
          <w:szCs w:val="22"/>
        </w:rPr>
        <w:t xml:space="preserve">siendo una disminución interanual acumulada del </w:t>
      </w:r>
      <w:r w:rsidR="009E13AC">
        <w:rPr>
          <w:rFonts w:cs="Times New Roman"/>
          <w:szCs w:val="22"/>
        </w:rPr>
        <w:t>0.1% (Q10.8 millones) respecto al mismo mes del año previo.</w:t>
      </w:r>
      <w:r w:rsidR="008A5A7E">
        <w:rPr>
          <w:rFonts w:cs="Times New Roman"/>
          <w:szCs w:val="22"/>
        </w:rPr>
        <w:t xml:space="preserve"> </w:t>
      </w:r>
      <w:r w:rsidR="00AF70E9">
        <w:rPr>
          <w:rFonts w:cs="Times New Roman"/>
          <w:szCs w:val="22"/>
        </w:rPr>
        <w:t xml:space="preserve">Entre los principales elementos que </w:t>
      </w:r>
      <w:r w:rsidR="00E80F80">
        <w:rPr>
          <w:rFonts w:cs="Times New Roman"/>
          <w:szCs w:val="22"/>
        </w:rPr>
        <w:t xml:space="preserve">explican </w:t>
      </w:r>
      <w:r w:rsidR="00AF70E9">
        <w:rPr>
          <w:rFonts w:cs="Times New Roman"/>
          <w:szCs w:val="22"/>
        </w:rPr>
        <w:t>esta situación</w:t>
      </w:r>
      <w:r w:rsidR="00EB6455">
        <w:rPr>
          <w:rFonts w:cs="Times New Roman"/>
          <w:szCs w:val="22"/>
        </w:rPr>
        <w:t>,</w:t>
      </w:r>
      <w:r w:rsidR="00AF70E9">
        <w:rPr>
          <w:rFonts w:cs="Times New Roman"/>
          <w:szCs w:val="22"/>
        </w:rPr>
        <w:t xml:space="preserve"> se encuentran</w:t>
      </w:r>
      <w:r w:rsidR="000A7E28">
        <w:rPr>
          <w:rFonts w:cs="Times New Roman"/>
          <w:szCs w:val="22"/>
        </w:rPr>
        <w:t xml:space="preserve"> </w:t>
      </w:r>
      <w:r w:rsidR="00E80F80">
        <w:rPr>
          <w:rFonts w:cs="Times New Roman"/>
          <w:szCs w:val="22"/>
        </w:rPr>
        <w:t xml:space="preserve">los gastos en </w:t>
      </w:r>
      <w:r w:rsidR="000A7E28">
        <w:rPr>
          <w:rFonts w:cs="Times New Roman"/>
          <w:szCs w:val="22"/>
        </w:rPr>
        <w:t xml:space="preserve">donaciones </w:t>
      </w:r>
      <w:r w:rsidR="00EB6455">
        <w:rPr>
          <w:rFonts w:cs="Times New Roman"/>
          <w:szCs w:val="22"/>
        </w:rPr>
        <w:t>lo</w:t>
      </w:r>
      <w:r w:rsidR="000A7E28">
        <w:rPr>
          <w:rFonts w:cs="Times New Roman"/>
          <w:szCs w:val="22"/>
        </w:rPr>
        <w:t xml:space="preserve">s cuales ascienden a Q4,134 millones, con una variación interanual negativa </w:t>
      </w:r>
      <w:r w:rsidR="00F7416C">
        <w:rPr>
          <w:rFonts w:cs="Times New Roman"/>
          <w:szCs w:val="22"/>
        </w:rPr>
        <w:t>del 7.4% (Q3</w:t>
      </w:r>
      <w:r w:rsidR="006136B7">
        <w:rPr>
          <w:rFonts w:cs="Times New Roman"/>
          <w:szCs w:val="22"/>
        </w:rPr>
        <w:t>29</w:t>
      </w:r>
      <w:r w:rsidR="00F7416C">
        <w:rPr>
          <w:rFonts w:cs="Times New Roman"/>
          <w:szCs w:val="22"/>
        </w:rPr>
        <w:t>.</w:t>
      </w:r>
      <w:r w:rsidR="00AB7E78">
        <w:rPr>
          <w:rFonts w:cs="Times New Roman"/>
          <w:szCs w:val="22"/>
        </w:rPr>
        <w:t>8</w:t>
      </w:r>
      <w:r w:rsidR="00F7416C">
        <w:rPr>
          <w:rFonts w:cs="Times New Roman"/>
          <w:szCs w:val="22"/>
        </w:rPr>
        <w:t xml:space="preserve"> millones)</w:t>
      </w:r>
      <w:r w:rsidR="00D6473B">
        <w:rPr>
          <w:rFonts w:cs="Times New Roman"/>
          <w:szCs w:val="22"/>
        </w:rPr>
        <w:t xml:space="preserve"> </w:t>
      </w:r>
      <w:r w:rsidR="005D6D13">
        <w:rPr>
          <w:rFonts w:cs="Times New Roman"/>
          <w:szCs w:val="22"/>
        </w:rPr>
        <w:t>el cual</w:t>
      </w:r>
      <w:r w:rsidR="00EB6455">
        <w:rPr>
          <w:rFonts w:cs="Times New Roman"/>
          <w:szCs w:val="22"/>
        </w:rPr>
        <w:t xml:space="preserve"> es producto de una disminución </w:t>
      </w:r>
      <w:r w:rsidR="00CF7CA4">
        <w:rPr>
          <w:rFonts w:cs="Times New Roman"/>
          <w:szCs w:val="22"/>
        </w:rPr>
        <w:t>en las donaciones</w:t>
      </w:r>
      <w:r w:rsidR="005D6D13">
        <w:rPr>
          <w:rFonts w:cs="Times New Roman"/>
          <w:szCs w:val="22"/>
        </w:rPr>
        <w:t xml:space="preserve"> realizadas</w:t>
      </w:r>
      <w:r w:rsidR="00CF7CA4">
        <w:rPr>
          <w:rFonts w:cs="Times New Roman"/>
          <w:szCs w:val="22"/>
        </w:rPr>
        <w:t xml:space="preserve"> a otras unidades del gobierno general</w:t>
      </w:r>
      <w:r w:rsidR="008A5F8E">
        <w:rPr>
          <w:rFonts w:cs="Times New Roman"/>
          <w:szCs w:val="22"/>
        </w:rPr>
        <w:t xml:space="preserve">, que </w:t>
      </w:r>
      <w:r w:rsidR="00BB55F5">
        <w:rPr>
          <w:rFonts w:cs="Times New Roman"/>
          <w:szCs w:val="22"/>
        </w:rPr>
        <w:t>muestran</w:t>
      </w:r>
      <w:r w:rsidR="00817583">
        <w:rPr>
          <w:rFonts w:cs="Times New Roman"/>
          <w:szCs w:val="22"/>
        </w:rPr>
        <w:t xml:space="preserve"> una</w:t>
      </w:r>
      <w:r w:rsidR="00CF7CA4">
        <w:rPr>
          <w:rFonts w:cs="Times New Roman"/>
          <w:szCs w:val="22"/>
        </w:rPr>
        <w:t xml:space="preserve"> variación </w:t>
      </w:r>
      <w:r w:rsidR="003D403A">
        <w:rPr>
          <w:rFonts w:cs="Times New Roman"/>
          <w:szCs w:val="22"/>
        </w:rPr>
        <w:t>interanual</w:t>
      </w:r>
      <w:r w:rsidR="00701A88">
        <w:rPr>
          <w:rFonts w:cs="Times New Roman"/>
          <w:szCs w:val="22"/>
        </w:rPr>
        <w:t xml:space="preserve"> negativa</w:t>
      </w:r>
      <w:r w:rsidR="003D403A">
        <w:rPr>
          <w:rFonts w:cs="Times New Roman"/>
          <w:szCs w:val="22"/>
        </w:rPr>
        <w:t xml:space="preserve"> del 7.5% (Q</w:t>
      </w:r>
      <w:r w:rsidR="00AB7E78">
        <w:rPr>
          <w:rFonts w:cs="Times New Roman"/>
          <w:szCs w:val="22"/>
        </w:rPr>
        <w:t>334.5</w:t>
      </w:r>
      <w:r w:rsidR="00701A88">
        <w:rPr>
          <w:rFonts w:cs="Times New Roman"/>
          <w:szCs w:val="22"/>
        </w:rPr>
        <w:t xml:space="preserve"> millones)</w:t>
      </w:r>
      <w:r w:rsidR="008A5F8E">
        <w:rPr>
          <w:rFonts w:cs="Times New Roman"/>
          <w:szCs w:val="22"/>
        </w:rPr>
        <w:t xml:space="preserve"> mientras </w:t>
      </w:r>
      <w:r w:rsidR="00E4784D">
        <w:rPr>
          <w:rFonts w:cs="Times New Roman"/>
          <w:szCs w:val="22"/>
        </w:rPr>
        <w:t>que las donaciones</w:t>
      </w:r>
      <w:r w:rsidR="00416C7D">
        <w:rPr>
          <w:rFonts w:cs="Times New Roman"/>
          <w:szCs w:val="22"/>
        </w:rPr>
        <w:t xml:space="preserve"> a </w:t>
      </w:r>
      <w:r w:rsidR="005F4BAB">
        <w:rPr>
          <w:rFonts w:cs="Times New Roman"/>
          <w:szCs w:val="22"/>
        </w:rPr>
        <w:t xml:space="preserve">organismos </w:t>
      </w:r>
      <w:r w:rsidR="008D6124">
        <w:rPr>
          <w:rFonts w:cs="Times New Roman"/>
          <w:szCs w:val="22"/>
        </w:rPr>
        <w:t>internacionales</w:t>
      </w:r>
      <w:r w:rsidR="00E4784D">
        <w:rPr>
          <w:rFonts w:cs="Times New Roman"/>
          <w:szCs w:val="22"/>
        </w:rPr>
        <w:t xml:space="preserve"> experiment</w:t>
      </w:r>
      <w:r w:rsidR="00BB55F5">
        <w:rPr>
          <w:rFonts w:cs="Times New Roman"/>
          <w:szCs w:val="22"/>
        </w:rPr>
        <w:t>aron</w:t>
      </w:r>
      <w:r w:rsidR="00E4784D">
        <w:rPr>
          <w:rFonts w:cs="Times New Roman"/>
          <w:szCs w:val="22"/>
        </w:rPr>
        <w:t xml:space="preserve"> un </w:t>
      </w:r>
      <w:r w:rsidR="00BB55F5">
        <w:rPr>
          <w:rFonts w:cs="Times New Roman"/>
          <w:szCs w:val="22"/>
        </w:rPr>
        <w:t>aumento</w:t>
      </w:r>
      <w:r w:rsidR="00615302">
        <w:rPr>
          <w:rFonts w:cs="Times New Roman"/>
          <w:szCs w:val="22"/>
        </w:rPr>
        <w:t xml:space="preserve"> interanual</w:t>
      </w:r>
      <w:r w:rsidR="00E4784D">
        <w:rPr>
          <w:rFonts w:cs="Times New Roman"/>
          <w:szCs w:val="22"/>
        </w:rPr>
        <w:t xml:space="preserve"> de </w:t>
      </w:r>
      <w:r w:rsidR="005831F3">
        <w:rPr>
          <w:rFonts w:cs="Times New Roman"/>
          <w:szCs w:val="22"/>
        </w:rPr>
        <w:t>Q4.7 millones</w:t>
      </w:r>
      <w:r w:rsidR="00431A01">
        <w:rPr>
          <w:rFonts w:cs="Times New Roman"/>
          <w:szCs w:val="22"/>
        </w:rPr>
        <w:t>.</w:t>
      </w:r>
      <w:r w:rsidR="0061478D">
        <w:rPr>
          <w:rFonts w:cs="Times New Roman"/>
          <w:szCs w:val="22"/>
        </w:rPr>
        <w:t xml:space="preserve"> As</w:t>
      </w:r>
      <w:r w:rsidR="00BB55F5">
        <w:rPr>
          <w:rFonts w:cs="Times New Roman"/>
          <w:szCs w:val="22"/>
        </w:rPr>
        <w:t>i</w:t>
      </w:r>
      <w:r w:rsidR="0061478D">
        <w:rPr>
          <w:rFonts w:cs="Times New Roman"/>
          <w:szCs w:val="22"/>
        </w:rPr>
        <w:t xml:space="preserve">mismo, </w:t>
      </w:r>
      <w:r w:rsidR="008E5841">
        <w:rPr>
          <w:rFonts w:cs="Times New Roman"/>
          <w:szCs w:val="22"/>
        </w:rPr>
        <w:t xml:space="preserve">también se debe de resaltar la diminución de la categoría de otros gastos, la cual asciende a un total de </w:t>
      </w:r>
      <w:r w:rsidR="00465656">
        <w:rPr>
          <w:rFonts w:cs="Times New Roman"/>
          <w:szCs w:val="22"/>
        </w:rPr>
        <w:t>Q1,089.0 millones</w:t>
      </w:r>
      <w:r w:rsidR="00F33A2E">
        <w:rPr>
          <w:rFonts w:cs="Times New Roman"/>
          <w:szCs w:val="22"/>
        </w:rPr>
        <w:t>,</w:t>
      </w:r>
      <w:r w:rsidR="009C551F">
        <w:rPr>
          <w:rFonts w:cs="Times New Roman"/>
          <w:szCs w:val="22"/>
        </w:rPr>
        <w:t xml:space="preserve"> </w:t>
      </w:r>
      <w:r w:rsidR="00F33A2E">
        <w:rPr>
          <w:rFonts w:cs="Times New Roman"/>
          <w:szCs w:val="22"/>
        </w:rPr>
        <w:t>con</w:t>
      </w:r>
      <w:r w:rsidR="009C551F">
        <w:rPr>
          <w:rFonts w:cs="Times New Roman"/>
          <w:szCs w:val="22"/>
        </w:rPr>
        <w:t xml:space="preserve"> una diminución interanual del 16.4% (Q</w:t>
      </w:r>
      <w:r w:rsidR="002D7A60">
        <w:rPr>
          <w:rFonts w:cs="Times New Roman"/>
          <w:szCs w:val="22"/>
        </w:rPr>
        <w:t>213.0 millones)</w:t>
      </w:r>
      <w:r w:rsidR="00586161">
        <w:rPr>
          <w:rFonts w:cs="Times New Roman"/>
          <w:szCs w:val="22"/>
        </w:rPr>
        <w:t>.</w:t>
      </w:r>
    </w:p>
    <w:p w14:paraId="729547B8" w14:textId="289E5EFE" w:rsidR="007A1C1D" w:rsidRDefault="007A1C1D" w:rsidP="00CD34D6">
      <w:pPr>
        <w:rPr>
          <w:rFonts w:cs="Times New Roman"/>
          <w:szCs w:val="22"/>
        </w:rPr>
      </w:pPr>
    </w:p>
    <w:p w14:paraId="7D5421E2" w14:textId="1AC4714B" w:rsidR="00E64821" w:rsidRDefault="005C6BE3" w:rsidP="00E64821">
      <w:pPr>
        <w:rPr>
          <w:rFonts w:cs="Times New Roman"/>
          <w:szCs w:val="22"/>
          <w:lang w:val="es-MX"/>
        </w:rPr>
      </w:pPr>
      <w:r>
        <w:rPr>
          <w:rFonts w:cs="Times New Roman"/>
          <w:szCs w:val="22"/>
        </w:rPr>
        <w:t xml:space="preserve">Por su parte, </w:t>
      </w:r>
      <w:r w:rsidR="00B61259">
        <w:rPr>
          <w:rFonts w:cs="Times New Roman"/>
          <w:szCs w:val="22"/>
        </w:rPr>
        <w:t xml:space="preserve">los gastos </w:t>
      </w:r>
      <w:r w:rsidR="00EF1519">
        <w:rPr>
          <w:rFonts w:cs="Times New Roman"/>
          <w:szCs w:val="22"/>
        </w:rPr>
        <w:t>destinados al u</w:t>
      </w:r>
      <w:r w:rsidR="00B61259">
        <w:rPr>
          <w:rFonts w:cs="Times New Roman"/>
          <w:szCs w:val="22"/>
        </w:rPr>
        <w:t>so de bienes y servicios</w:t>
      </w:r>
      <w:r w:rsidR="00EF1519">
        <w:rPr>
          <w:rFonts w:cs="Times New Roman"/>
          <w:szCs w:val="22"/>
        </w:rPr>
        <w:t xml:space="preserve"> </w:t>
      </w:r>
      <w:r w:rsidR="00E669A8">
        <w:rPr>
          <w:rFonts w:cs="Times New Roman"/>
          <w:szCs w:val="22"/>
        </w:rPr>
        <w:t>tuvieron</w:t>
      </w:r>
      <w:r w:rsidR="002D4A52">
        <w:rPr>
          <w:rFonts w:cs="Times New Roman"/>
          <w:szCs w:val="22"/>
        </w:rPr>
        <w:t xml:space="preserve"> </w:t>
      </w:r>
      <w:r w:rsidR="00E669A8">
        <w:rPr>
          <w:rFonts w:cs="Times New Roman"/>
          <w:szCs w:val="22"/>
        </w:rPr>
        <w:t>una variación</w:t>
      </w:r>
      <w:r w:rsidR="002D4A52">
        <w:rPr>
          <w:rFonts w:cs="Times New Roman"/>
          <w:szCs w:val="22"/>
        </w:rPr>
        <w:t xml:space="preserve"> interanual positiva, ascendiendo al mes de marzo en </w:t>
      </w:r>
      <w:r w:rsidR="00977E3C">
        <w:rPr>
          <w:rFonts w:cs="Times New Roman"/>
          <w:szCs w:val="22"/>
        </w:rPr>
        <w:t xml:space="preserve">Q1,658.9 millones y </w:t>
      </w:r>
      <w:r w:rsidR="00C70C52">
        <w:rPr>
          <w:rFonts w:cs="Times New Roman"/>
          <w:szCs w:val="22"/>
        </w:rPr>
        <w:t>con</w:t>
      </w:r>
      <w:r w:rsidR="00977E3C">
        <w:rPr>
          <w:rFonts w:cs="Times New Roman"/>
          <w:szCs w:val="22"/>
        </w:rPr>
        <w:t xml:space="preserve"> una</w:t>
      </w:r>
      <w:r w:rsidR="00C70C52">
        <w:rPr>
          <w:rFonts w:cs="Times New Roman"/>
          <w:szCs w:val="22"/>
        </w:rPr>
        <w:t xml:space="preserve"> tasa</w:t>
      </w:r>
      <w:r w:rsidR="00977E3C">
        <w:rPr>
          <w:rFonts w:cs="Times New Roman"/>
          <w:szCs w:val="22"/>
        </w:rPr>
        <w:t xml:space="preserve"> </w:t>
      </w:r>
      <w:r w:rsidR="00F065FD">
        <w:rPr>
          <w:rFonts w:cs="Times New Roman"/>
          <w:szCs w:val="22"/>
        </w:rPr>
        <w:t>de crecimiento</w:t>
      </w:r>
      <w:r w:rsidR="00977E3C">
        <w:rPr>
          <w:rFonts w:cs="Times New Roman"/>
          <w:szCs w:val="22"/>
        </w:rPr>
        <w:t xml:space="preserve"> </w:t>
      </w:r>
      <w:r w:rsidR="00BB55F5">
        <w:rPr>
          <w:rFonts w:cs="Times New Roman"/>
          <w:szCs w:val="22"/>
        </w:rPr>
        <w:t xml:space="preserve">interanual </w:t>
      </w:r>
      <w:r w:rsidR="00977E3C">
        <w:rPr>
          <w:rFonts w:cs="Times New Roman"/>
          <w:szCs w:val="22"/>
        </w:rPr>
        <w:t xml:space="preserve">del </w:t>
      </w:r>
      <w:r w:rsidR="004C331A">
        <w:rPr>
          <w:rFonts w:cs="Times New Roman"/>
          <w:szCs w:val="22"/>
        </w:rPr>
        <w:t>25.1% (Q332.6 millones)</w:t>
      </w:r>
      <w:r w:rsidR="005D1692">
        <w:rPr>
          <w:rFonts w:cs="Times New Roman"/>
          <w:szCs w:val="22"/>
        </w:rPr>
        <w:t xml:space="preserve"> respecto al mismo periodo del año previo</w:t>
      </w:r>
      <w:r w:rsidR="000E60F8">
        <w:rPr>
          <w:rFonts w:cs="Times New Roman"/>
          <w:szCs w:val="22"/>
          <w:lang w:val="es-MX"/>
        </w:rPr>
        <w:t>.</w:t>
      </w:r>
      <w:r w:rsidR="009A0230">
        <w:rPr>
          <w:rFonts w:cs="Times New Roman"/>
          <w:szCs w:val="22"/>
          <w:lang w:val="es-MX"/>
        </w:rPr>
        <w:t xml:space="preserve"> </w:t>
      </w:r>
      <w:r w:rsidR="00D477AD">
        <w:rPr>
          <w:rFonts w:cs="Times New Roman"/>
          <w:szCs w:val="22"/>
          <w:lang w:val="es-MX"/>
        </w:rPr>
        <w:t>C</w:t>
      </w:r>
      <w:r w:rsidR="00F42E10">
        <w:rPr>
          <w:rFonts w:cs="Times New Roman"/>
          <w:szCs w:val="22"/>
          <w:lang w:val="es-MX"/>
        </w:rPr>
        <w:t xml:space="preserve">abe mencionar que </w:t>
      </w:r>
      <w:r w:rsidR="009A0230">
        <w:rPr>
          <w:rFonts w:cs="Times New Roman"/>
          <w:szCs w:val="22"/>
          <w:lang w:val="es-MX"/>
        </w:rPr>
        <w:t xml:space="preserve">las remuneraciones a los </w:t>
      </w:r>
      <w:r w:rsidR="00061E2E">
        <w:rPr>
          <w:rFonts w:cs="Times New Roman"/>
          <w:szCs w:val="22"/>
          <w:lang w:val="es-MX"/>
        </w:rPr>
        <w:t>empleados</w:t>
      </w:r>
      <w:r w:rsidR="009A0230">
        <w:rPr>
          <w:rFonts w:cs="Times New Roman"/>
          <w:szCs w:val="22"/>
          <w:lang w:val="es-MX"/>
        </w:rPr>
        <w:t xml:space="preserve"> </w:t>
      </w:r>
      <w:r w:rsidR="00F219EB">
        <w:rPr>
          <w:rFonts w:cs="Times New Roman"/>
          <w:szCs w:val="22"/>
          <w:lang w:val="es-MX"/>
        </w:rPr>
        <w:t xml:space="preserve">fueron de Q7,240.8 millones </w:t>
      </w:r>
      <w:r w:rsidR="00DA5A80">
        <w:rPr>
          <w:rFonts w:cs="Times New Roman"/>
          <w:szCs w:val="22"/>
          <w:lang w:val="es-MX"/>
        </w:rPr>
        <w:t xml:space="preserve">durante el primer trimestre, teniendo una variación interanual positiva del </w:t>
      </w:r>
      <w:r w:rsidR="002457E2">
        <w:rPr>
          <w:rFonts w:cs="Times New Roman"/>
          <w:szCs w:val="22"/>
          <w:lang w:val="es-MX"/>
        </w:rPr>
        <w:t xml:space="preserve">2.7% (Q187.5 millones) </w:t>
      </w:r>
      <w:r w:rsidR="008A0D2B">
        <w:rPr>
          <w:rFonts w:cs="Times New Roman"/>
          <w:szCs w:val="22"/>
          <w:lang w:val="es-MX"/>
        </w:rPr>
        <w:t xml:space="preserve">de los cuales </w:t>
      </w:r>
      <w:r w:rsidR="004A5C99">
        <w:rPr>
          <w:rFonts w:cs="Times New Roman"/>
          <w:szCs w:val="22"/>
          <w:lang w:val="es-MX"/>
        </w:rPr>
        <w:t xml:space="preserve">los sueldos y salarios se incrementaron en </w:t>
      </w:r>
      <w:r w:rsidR="008A0D2B">
        <w:rPr>
          <w:rFonts w:cs="Times New Roman"/>
          <w:szCs w:val="22"/>
          <w:lang w:val="es-MX"/>
        </w:rPr>
        <w:t xml:space="preserve">Q250.7 millones </w:t>
      </w:r>
      <w:r w:rsidR="004A5C99">
        <w:rPr>
          <w:rFonts w:cs="Times New Roman"/>
          <w:szCs w:val="22"/>
          <w:lang w:val="es-MX"/>
        </w:rPr>
        <w:t xml:space="preserve">y las contribuciones sociales de empleadores </w:t>
      </w:r>
      <w:r w:rsidR="00135FB7">
        <w:rPr>
          <w:rFonts w:cs="Times New Roman"/>
          <w:szCs w:val="22"/>
          <w:lang w:val="es-MX"/>
        </w:rPr>
        <w:t>disminuyeron en Q63.1 millones</w:t>
      </w:r>
      <w:r w:rsidR="00D477AD">
        <w:rPr>
          <w:rFonts w:cs="Times New Roman"/>
          <w:szCs w:val="22"/>
          <w:lang w:val="es-MX"/>
        </w:rPr>
        <w:t>.</w:t>
      </w:r>
    </w:p>
    <w:p w14:paraId="23864437" w14:textId="70F3B3D7" w:rsidR="00D477AD" w:rsidRDefault="00D477AD" w:rsidP="00E64821">
      <w:pPr>
        <w:rPr>
          <w:rFonts w:cs="Times New Roman"/>
          <w:szCs w:val="22"/>
          <w:lang w:val="es-MX"/>
        </w:rPr>
      </w:pPr>
    </w:p>
    <w:p w14:paraId="72929B13" w14:textId="476F4F99" w:rsidR="00E64821" w:rsidRPr="00D4253F" w:rsidRDefault="005155A6" w:rsidP="00D90C63">
      <w:pPr>
        <w:rPr>
          <w:rFonts w:cs="Times New Roman"/>
          <w:szCs w:val="22"/>
          <w:lang w:val="es-MX"/>
        </w:rPr>
      </w:pPr>
      <w:r>
        <w:rPr>
          <w:rFonts w:cs="Times New Roman"/>
          <w:szCs w:val="22"/>
          <w:lang w:val="es-MX"/>
        </w:rPr>
        <w:t>Los intereses pagados ascienden a Q1,820.7 millones</w:t>
      </w:r>
      <w:r w:rsidR="007026D6">
        <w:rPr>
          <w:rFonts w:cs="Times New Roman"/>
          <w:szCs w:val="22"/>
          <w:lang w:val="es-MX"/>
        </w:rPr>
        <w:t xml:space="preserve">, mostrando una variación interanual del </w:t>
      </w:r>
      <w:r w:rsidR="00D90C63">
        <w:rPr>
          <w:rFonts w:cs="Times New Roman"/>
          <w:szCs w:val="22"/>
          <w:lang w:val="es-MX"/>
        </w:rPr>
        <w:t>1.3% y equivalente a Q23.8 millones más que lo observado durante el primer trimestre del año 2020.</w:t>
      </w:r>
    </w:p>
    <w:p w14:paraId="53DB6EFC" w14:textId="089E6F9C" w:rsidR="00C244C3" w:rsidRDefault="00BC34C0" w:rsidP="00497EBD">
      <w:pPr>
        <w:jc w:val="center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noProof/>
          <w:szCs w:val="22"/>
          <w:lang w:eastAsia="es-GT"/>
        </w:rPr>
        <w:drawing>
          <wp:inline distT="0" distB="0" distL="0" distR="0" wp14:anchorId="15E12414" wp14:editId="7AF7978A">
            <wp:extent cx="5486400" cy="2380686"/>
            <wp:effectExtent l="0" t="0" r="0" b="63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51E5CBD" w14:textId="34E269F1" w:rsidR="008B2529" w:rsidRPr="00AC1506" w:rsidRDefault="006122C1" w:rsidP="008B2529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46" w:name="_Toc42023961"/>
      <w:bookmarkStart w:id="347" w:name="_Toc42024013"/>
      <w:bookmarkStart w:id="348" w:name="_Toc71108059"/>
      <w:bookmarkStart w:id="349" w:name="_Toc411347499"/>
      <w:bookmarkEnd w:id="346"/>
      <w:bookmarkEnd w:id="347"/>
      <w:r w:rsidRPr="00AC1506">
        <w:rPr>
          <w:rFonts w:cs="Times New Roman"/>
          <w:b/>
          <w:sz w:val="24"/>
          <w:lang w:val="es-MX"/>
        </w:rPr>
        <w:lastRenderedPageBreak/>
        <w:t xml:space="preserve">Transacciones en Activos </w:t>
      </w:r>
      <w:r w:rsidR="00F4077C" w:rsidRPr="00AC1506">
        <w:rPr>
          <w:rFonts w:cs="Times New Roman"/>
          <w:b/>
          <w:sz w:val="24"/>
          <w:lang w:val="es-MX"/>
        </w:rPr>
        <w:t>No Financieros</w:t>
      </w:r>
      <w:bookmarkEnd w:id="348"/>
    </w:p>
    <w:p w14:paraId="3079688C" w14:textId="58D1019F" w:rsidR="00A72A8F" w:rsidRPr="00AC1506" w:rsidRDefault="006E4C13" w:rsidP="00C17472">
      <w:pPr>
        <w:rPr>
          <w:rFonts w:cs="Times New Roman"/>
          <w:sz w:val="24"/>
          <w:lang w:val="es-MX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442F73B6" wp14:editId="7EFD020C">
            <wp:extent cx="5836920" cy="876300"/>
            <wp:effectExtent l="76200" t="38100" r="87630" b="13335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691AA13" w14:textId="77777777" w:rsidR="00A72A8F" w:rsidRPr="00AC1506" w:rsidRDefault="00A72A8F" w:rsidP="00A72A8F">
      <w:pPr>
        <w:pStyle w:val="Prrafodelista"/>
        <w:keepNext/>
        <w:keepLines/>
        <w:numPr>
          <w:ilvl w:val="0"/>
          <w:numId w:val="12"/>
        </w:numPr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350" w:name="_Toc33109793"/>
      <w:bookmarkStart w:id="351" w:name="_Toc33109836"/>
      <w:bookmarkStart w:id="352" w:name="_Toc33180557"/>
      <w:bookmarkStart w:id="353" w:name="_Toc33180651"/>
      <w:bookmarkStart w:id="354" w:name="_Toc33193548"/>
      <w:bookmarkStart w:id="355" w:name="_Toc33193587"/>
      <w:bookmarkStart w:id="356" w:name="_Toc33196784"/>
      <w:bookmarkStart w:id="357" w:name="_Toc40691760"/>
      <w:bookmarkStart w:id="358" w:name="_Toc40959160"/>
      <w:bookmarkStart w:id="359" w:name="_Toc40975994"/>
      <w:bookmarkStart w:id="360" w:name="_Toc40976063"/>
      <w:bookmarkStart w:id="361" w:name="_Toc40993318"/>
      <w:bookmarkStart w:id="362" w:name="_Toc40993700"/>
      <w:bookmarkStart w:id="363" w:name="_Toc41037576"/>
      <w:bookmarkStart w:id="364" w:name="_Toc41254136"/>
      <w:bookmarkStart w:id="365" w:name="_Toc41254168"/>
      <w:bookmarkStart w:id="366" w:name="_Toc41254188"/>
      <w:bookmarkStart w:id="367" w:name="_Toc42023964"/>
      <w:bookmarkStart w:id="368" w:name="_Toc42024015"/>
      <w:bookmarkStart w:id="369" w:name="_Toc42069112"/>
      <w:bookmarkStart w:id="370" w:name="_Toc49422058"/>
      <w:bookmarkStart w:id="371" w:name="_Toc49422084"/>
      <w:bookmarkStart w:id="372" w:name="_Toc49430663"/>
      <w:bookmarkStart w:id="373" w:name="_Toc49430689"/>
      <w:bookmarkStart w:id="374" w:name="_Toc49750466"/>
      <w:bookmarkStart w:id="375" w:name="_Toc49750716"/>
      <w:bookmarkStart w:id="376" w:name="_Toc49750744"/>
      <w:bookmarkStart w:id="377" w:name="_Toc55284830"/>
      <w:bookmarkStart w:id="378" w:name="_Toc55298848"/>
      <w:bookmarkStart w:id="379" w:name="_Toc55373829"/>
      <w:bookmarkStart w:id="380" w:name="_Toc55374002"/>
      <w:bookmarkStart w:id="381" w:name="_Toc55375139"/>
      <w:bookmarkStart w:id="382" w:name="_Toc55396547"/>
      <w:bookmarkStart w:id="383" w:name="_Toc65230544"/>
      <w:bookmarkStart w:id="384" w:name="_Toc65230782"/>
      <w:bookmarkStart w:id="385" w:name="_Toc65232066"/>
      <w:bookmarkStart w:id="386" w:name="_Toc65232311"/>
      <w:bookmarkStart w:id="387" w:name="_Toc66716170"/>
      <w:bookmarkStart w:id="388" w:name="_Toc71097214"/>
      <w:bookmarkStart w:id="389" w:name="_Toc71097245"/>
      <w:bookmarkStart w:id="390" w:name="_Toc71097320"/>
      <w:bookmarkStart w:id="391" w:name="_Toc71108060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</w:p>
    <w:p w14:paraId="79B9A6E4" w14:textId="7EC188CE" w:rsidR="008B2529" w:rsidRPr="00E51982" w:rsidRDefault="00EA566E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392" w:name="_Toc71108061"/>
      <w:r>
        <w:rPr>
          <w:rFonts w:ascii="Times New Roman" w:hAnsi="Times New Roman" w:cs="Times New Roman"/>
          <w:color w:val="auto"/>
          <w:sz w:val="24"/>
        </w:rPr>
        <w:t>Aumenta l</w:t>
      </w:r>
      <w:r w:rsidR="00A51947">
        <w:rPr>
          <w:rFonts w:ascii="Times New Roman" w:hAnsi="Times New Roman" w:cs="Times New Roman"/>
          <w:color w:val="auto"/>
          <w:sz w:val="24"/>
        </w:rPr>
        <w:t>a i</w:t>
      </w:r>
      <w:r w:rsidR="00D77222" w:rsidRPr="00E51982">
        <w:rPr>
          <w:rFonts w:ascii="Times New Roman" w:hAnsi="Times New Roman" w:cs="Times New Roman"/>
          <w:color w:val="auto"/>
          <w:sz w:val="24"/>
        </w:rPr>
        <w:t>nversión en activos no financieros</w:t>
      </w:r>
      <w:r w:rsidR="00020F69">
        <w:rPr>
          <w:rFonts w:ascii="Times New Roman" w:hAnsi="Times New Roman" w:cs="Times New Roman"/>
          <w:color w:val="auto"/>
          <w:sz w:val="24"/>
        </w:rPr>
        <w:t xml:space="preserve"> </w:t>
      </w:r>
      <w:bookmarkEnd w:id="392"/>
    </w:p>
    <w:p w14:paraId="1C62E993" w14:textId="02F0233C" w:rsidR="00680F24" w:rsidRDefault="00393F94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>Durante el primer trimestre del año</w:t>
      </w:r>
      <w:r w:rsidR="00E846F8">
        <w:rPr>
          <w:rFonts w:cs="Times New Roman"/>
          <w:szCs w:val="22"/>
        </w:rPr>
        <w:t xml:space="preserve">, la inversión bruta en activos no financieros </w:t>
      </w:r>
      <w:r w:rsidR="005E013F">
        <w:rPr>
          <w:rFonts w:cs="Times New Roman"/>
          <w:szCs w:val="22"/>
        </w:rPr>
        <w:t>fue</w:t>
      </w:r>
      <w:r w:rsidR="00E846F8">
        <w:rPr>
          <w:rFonts w:cs="Times New Roman"/>
          <w:szCs w:val="22"/>
        </w:rPr>
        <w:t xml:space="preserve"> de Q485.7 millones</w:t>
      </w:r>
      <w:r w:rsidR="00020F69">
        <w:rPr>
          <w:rFonts w:cs="Times New Roman"/>
          <w:szCs w:val="22"/>
        </w:rPr>
        <w:t xml:space="preserve"> siendo esta mayor en </w:t>
      </w:r>
      <w:r w:rsidR="00107432">
        <w:rPr>
          <w:rFonts w:cs="Times New Roman"/>
          <w:szCs w:val="22"/>
        </w:rPr>
        <w:t xml:space="preserve">137.9% (Q281.6 millones) </w:t>
      </w:r>
      <w:r w:rsidR="00680F24">
        <w:rPr>
          <w:rFonts w:cs="Times New Roman"/>
          <w:szCs w:val="22"/>
        </w:rPr>
        <w:t xml:space="preserve">respecto a lo observado al mismo periodo del año </w:t>
      </w:r>
      <w:r w:rsidR="00F65041">
        <w:rPr>
          <w:rFonts w:cs="Times New Roman"/>
          <w:szCs w:val="22"/>
        </w:rPr>
        <w:t>previo,</w:t>
      </w:r>
      <w:r w:rsidR="00826D96">
        <w:rPr>
          <w:rFonts w:cs="Times New Roman"/>
          <w:szCs w:val="22"/>
        </w:rPr>
        <w:t xml:space="preserve"> aunque cabe resaltar que </w:t>
      </w:r>
      <w:r w:rsidR="00CF0257">
        <w:rPr>
          <w:rFonts w:cs="Times New Roman"/>
          <w:szCs w:val="22"/>
        </w:rPr>
        <w:t>a</w:t>
      </w:r>
      <w:r w:rsidR="002451BB">
        <w:rPr>
          <w:rFonts w:cs="Times New Roman"/>
          <w:szCs w:val="22"/>
        </w:rPr>
        <w:t>ún</w:t>
      </w:r>
      <w:r w:rsidR="00826D96">
        <w:rPr>
          <w:rFonts w:cs="Times New Roman"/>
          <w:szCs w:val="22"/>
        </w:rPr>
        <w:t xml:space="preserve"> se encuentra por debajo de lo observado al mismo periodo del 2019</w:t>
      </w:r>
      <w:r w:rsidR="009837B2">
        <w:rPr>
          <w:rFonts w:cs="Times New Roman"/>
          <w:szCs w:val="22"/>
        </w:rPr>
        <w:t xml:space="preserve"> que fue el último año de gobierno de la anterior administración</w:t>
      </w:r>
      <w:r w:rsidR="00826D96">
        <w:rPr>
          <w:rFonts w:cs="Times New Roman"/>
          <w:szCs w:val="22"/>
        </w:rPr>
        <w:t>.</w:t>
      </w:r>
      <w:r w:rsidR="00061975">
        <w:rPr>
          <w:rFonts w:cs="Times New Roman"/>
          <w:szCs w:val="22"/>
        </w:rPr>
        <w:t xml:space="preserve"> </w:t>
      </w:r>
      <w:r w:rsidR="00826D96">
        <w:rPr>
          <w:rFonts w:cs="Times New Roman"/>
          <w:szCs w:val="22"/>
        </w:rPr>
        <w:t>El mayor</w:t>
      </w:r>
      <w:r w:rsidR="00302462">
        <w:rPr>
          <w:rFonts w:cs="Times New Roman"/>
          <w:szCs w:val="22"/>
        </w:rPr>
        <w:t xml:space="preserve"> aumento</w:t>
      </w:r>
      <w:r w:rsidR="002451BB">
        <w:rPr>
          <w:rFonts w:cs="Times New Roman"/>
          <w:szCs w:val="22"/>
        </w:rPr>
        <w:t>, respecto a 2020,</w:t>
      </w:r>
      <w:r w:rsidR="00302462">
        <w:rPr>
          <w:rFonts w:cs="Times New Roman"/>
          <w:szCs w:val="22"/>
        </w:rPr>
        <w:t xml:space="preserve"> se produce </w:t>
      </w:r>
      <w:r w:rsidR="0088205C">
        <w:rPr>
          <w:rFonts w:cs="Times New Roman"/>
          <w:szCs w:val="22"/>
        </w:rPr>
        <w:t>en</w:t>
      </w:r>
      <w:r w:rsidR="007F7166">
        <w:rPr>
          <w:rFonts w:cs="Times New Roman"/>
          <w:szCs w:val="22"/>
        </w:rPr>
        <w:t xml:space="preserve"> la inversión en </w:t>
      </w:r>
      <w:r w:rsidR="003C4D70">
        <w:rPr>
          <w:rFonts w:cs="Times New Roman"/>
          <w:szCs w:val="22"/>
        </w:rPr>
        <w:t>edificios y estructuras</w:t>
      </w:r>
      <w:r w:rsidR="001B71EE">
        <w:rPr>
          <w:rFonts w:cs="Times New Roman"/>
          <w:szCs w:val="22"/>
        </w:rPr>
        <w:t>,</w:t>
      </w:r>
      <w:r w:rsidR="003C4D70">
        <w:rPr>
          <w:rFonts w:cs="Times New Roman"/>
          <w:szCs w:val="22"/>
        </w:rPr>
        <w:t xml:space="preserve"> la cual es de Q448.7 millones</w:t>
      </w:r>
      <w:r w:rsidR="007C142A">
        <w:rPr>
          <w:rFonts w:cs="Times New Roman"/>
          <w:szCs w:val="22"/>
        </w:rPr>
        <w:t xml:space="preserve"> con una variación interanual del 129.9% (</w:t>
      </w:r>
      <w:r w:rsidR="00AE65C5">
        <w:rPr>
          <w:rFonts w:cs="Times New Roman"/>
          <w:szCs w:val="22"/>
        </w:rPr>
        <w:t>Q253.5 millones)</w:t>
      </w:r>
      <w:r w:rsidR="0088205C">
        <w:rPr>
          <w:rFonts w:cs="Times New Roman"/>
          <w:szCs w:val="22"/>
        </w:rPr>
        <w:t xml:space="preserve">, mientras que la inversión en maquinaria y equipo </w:t>
      </w:r>
      <w:r w:rsidR="00FF0BD5">
        <w:rPr>
          <w:rFonts w:cs="Times New Roman"/>
          <w:szCs w:val="22"/>
        </w:rPr>
        <w:t>asciende a Q37.0 millones con un crecimiento interanual de</w:t>
      </w:r>
      <w:r w:rsidR="0009511C">
        <w:rPr>
          <w:rFonts w:cs="Times New Roman"/>
          <w:szCs w:val="22"/>
        </w:rPr>
        <w:t xml:space="preserve">l 313.8% </w:t>
      </w:r>
      <w:r w:rsidR="00ED71F1">
        <w:rPr>
          <w:rFonts w:cs="Times New Roman"/>
          <w:szCs w:val="22"/>
        </w:rPr>
        <w:t>(</w:t>
      </w:r>
      <w:r w:rsidR="0009511C">
        <w:rPr>
          <w:rFonts w:cs="Times New Roman"/>
          <w:szCs w:val="22"/>
        </w:rPr>
        <w:t>equivalente a Q28.0 millones</w:t>
      </w:r>
      <w:r w:rsidR="00ED71F1">
        <w:rPr>
          <w:rFonts w:cs="Times New Roman"/>
          <w:szCs w:val="22"/>
        </w:rPr>
        <w:t>)</w:t>
      </w:r>
      <w:r w:rsidR="00AE65C5">
        <w:rPr>
          <w:rFonts w:cs="Times New Roman"/>
          <w:szCs w:val="22"/>
        </w:rPr>
        <w:t>.</w:t>
      </w:r>
    </w:p>
    <w:p w14:paraId="5DFD6011" w14:textId="77777777" w:rsidR="00CC59F4" w:rsidRDefault="00CC59F4" w:rsidP="00CD34D6">
      <w:pPr>
        <w:rPr>
          <w:rFonts w:cs="Times New Roman"/>
          <w:szCs w:val="22"/>
        </w:rPr>
      </w:pPr>
    </w:p>
    <w:p w14:paraId="26962EA2" w14:textId="2DF85C65" w:rsidR="008072E4" w:rsidRPr="00AC1506" w:rsidRDefault="0075669C" w:rsidP="00201CD8">
      <w:pPr>
        <w:jc w:val="center"/>
        <w:rPr>
          <w:rFonts w:cs="Times New Roman"/>
          <w:szCs w:val="22"/>
        </w:rPr>
      </w:pPr>
      <w:r w:rsidRPr="00AC1506">
        <w:rPr>
          <w:rFonts w:cs="Times New Roman"/>
          <w:noProof/>
          <w:szCs w:val="22"/>
          <w:lang w:eastAsia="es-GT"/>
        </w:rPr>
        <w:drawing>
          <wp:inline distT="0" distB="0" distL="0" distR="0" wp14:anchorId="2BFD5ABF" wp14:editId="2C4D731D">
            <wp:extent cx="5728970" cy="1731408"/>
            <wp:effectExtent l="0" t="0" r="5080" b="254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82EB4BD" w14:textId="12C07EF9" w:rsidR="001B0E2C" w:rsidRPr="00AC1506" w:rsidRDefault="001D54E4" w:rsidP="007B2224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93" w:name="_Toc42023966"/>
      <w:bookmarkStart w:id="394" w:name="_Toc42024017"/>
      <w:bookmarkStart w:id="395" w:name="_Toc42023967"/>
      <w:bookmarkStart w:id="396" w:name="_Toc42024018"/>
      <w:bookmarkStart w:id="397" w:name="_Toc71108062"/>
      <w:bookmarkEnd w:id="393"/>
      <w:bookmarkEnd w:id="394"/>
      <w:bookmarkEnd w:id="395"/>
      <w:bookmarkEnd w:id="396"/>
      <w:r>
        <w:rPr>
          <w:rFonts w:cs="Times New Roman"/>
          <w:b/>
          <w:sz w:val="24"/>
          <w:lang w:val="es-MX"/>
        </w:rPr>
        <w:t>Financiamiento</w:t>
      </w:r>
      <w:bookmarkEnd w:id="397"/>
      <w:r w:rsidR="00931D3E">
        <w:rPr>
          <w:rFonts w:cs="Times New Roman"/>
          <w:b/>
          <w:sz w:val="24"/>
          <w:lang w:val="es-MX"/>
        </w:rPr>
        <w:t xml:space="preserve">  </w:t>
      </w:r>
    </w:p>
    <w:p w14:paraId="58AB0962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398" w:name="_Toc55374005"/>
      <w:bookmarkStart w:id="399" w:name="_Toc55375142"/>
      <w:bookmarkStart w:id="400" w:name="_Toc55396550"/>
      <w:bookmarkStart w:id="401" w:name="_Toc65230547"/>
      <w:bookmarkStart w:id="402" w:name="_Toc65230785"/>
      <w:bookmarkStart w:id="403" w:name="_Toc65232069"/>
      <w:bookmarkStart w:id="404" w:name="_Toc65232314"/>
      <w:bookmarkStart w:id="405" w:name="_Toc66716173"/>
      <w:bookmarkStart w:id="406" w:name="_Toc71097217"/>
      <w:bookmarkStart w:id="407" w:name="_Toc71097248"/>
      <w:bookmarkStart w:id="408" w:name="_Toc71097323"/>
      <w:bookmarkStart w:id="409" w:name="_Toc71108063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2FB0B61E" w14:textId="11CFAC9F" w:rsidR="004F6CEF" w:rsidRPr="007B2224" w:rsidRDefault="00AF35F4" w:rsidP="000F19C1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410" w:name="_Toc71108064"/>
      <w:r>
        <w:rPr>
          <w:rFonts w:ascii="Times New Roman" w:hAnsi="Times New Roman" w:cs="Times New Roman"/>
          <w:color w:val="auto"/>
          <w:sz w:val="24"/>
        </w:rPr>
        <w:t>Disp</w:t>
      </w:r>
      <w:r w:rsidR="00767B6E">
        <w:rPr>
          <w:rFonts w:ascii="Times New Roman" w:hAnsi="Times New Roman" w:cs="Times New Roman"/>
          <w:color w:val="auto"/>
          <w:sz w:val="24"/>
        </w:rPr>
        <w:t>onibilidad</w:t>
      </w:r>
      <w:r w:rsidR="008D44C7" w:rsidRPr="007B2224">
        <w:rPr>
          <w:rFonts w:ascii="Times New Roman" w:hAnsi="Times New Roman" w:cs="Times New Roman"/>
          <w:color w:val="auto"/>
          <w:sz w:val="24"/>
        </w:rPr>
        <w:t xml:space="preserve"> de activos financieros</w:t>
      </w:r>
      <w:bookmarkEnd w:id="410"/>
    </w:p>
    <w:p w14:paraId="7A4E7AE2" w14:textId="27E600FF" w:rsidR="006D1A13" w:rsidRDefault="0051153F" w:rsidP="00F46ECF">
      <w:pPr>
        <w:rPr>
          <w:b/>
          <w:bCs/>
        </w:rPr>
      </w:pPr>
      <w:r>
        <w:t xml:space="preserve">Durante los meses de enero y febrero los activos financieros experimentaron un balance negativo </w:t>
      </w:r>
      <w:r w:rsidR="00E03BFE">
        <w:t xml:space="preserve">por el </w:t>
      </w:r>
      <w:r>
        <w:t xml:space="preserve">uso de </w:t>
      </w:r>
      <w:r w:rsidRPr="009833D8">
        <w:t>Billetes, Monedas y Depósitos</w:t>
      </w:r>
      <w:r>
        <w:t xml:space="preserve"> </w:t>
      </w:r>
      <w:r w:rsidRPr="009833D8">
        <w:t>(comúnmente conocido como caja y bancos</w:t>
      </w:r>
      <w:r>
        <w:t>)</w:t>
      </w:r>
      <w:r w:rsidR="00E03BFE">
        <w:t xml:space="preserve"> y </w:t>
      </w:r>
      <w:r w:rsidR="00657D09">
        <w:t>en</w:t>
      </w:r>
      <w:r>
        <w:t xml:space="preserve"> marzo el flujo de esta cuenta fue positivo</w:t>
      </w:r>
      <w:r w:rsidR="00657D09">
        <w:t xml:space="preserve"> derivado de</w:t>
      </w:r>
      <w:r w:rsidR="00206DBE">
        <w:t xml:space="preserve">l </w:t>
      </w:r>
      <w:r w:rsidR="00D52C33">
        <w:t xml:space="preserve">incremento </w:t>
      </w:r>
      <w:r w:rsidR="00C60B17">
        <w:t>en los pasivos</w:t>
      </w:r>
      <w:r w:rsidR="00234118">
        <w:t>, especialmente en los</w:t>
      </w:r>
      <w:r w:rsidR="00206DBE">
        <w:t xml:space="preserve"> títulos de deuda</w:t>
      </w:r>
      <w:r>
        <w:t>.</w:t>
      </w:r>
      <w:r w:rsidR="00D52C33">
        <w:t xml:space="preserve"> El flujo acumulad</w:t>
      </w:r>
      <w:r w:rsidR="00B93890">
        <w:t>o</w:t>
      </w:r>
      <w:r w:rsidR="00D52C33">
        <w:t xml:space="preserve"> en</w:t>
      </w:r>
      <w:r w:rsidR="00903FB5">
        <w:t xml:space="preserve"> </w:t>
      </w:r>
      <w:r w:rsidR="00B93890">
        <w:t xml:space="preserve">el </w:t>
      </w:r>
      <w:r w:rsidR="00B81EC5">
        <w:t>primer</w:t>
      </w:r>
      <w:r w:rsidR="004F6CEF" w:rsidRPr="009833D8">
        <w:t xml:space="preserve"> trimestre</w:t>
      </w:r>
      <w:r w:rsidR="00B93890">
        <w:t xml:space="preserve"> de</w:t>
      </w:r>
      <w:r w:rsidR="004F6CEF" w:rsidRPr="009833D8">
        <w:t xml:space="preserve"> </w:t>
      </w:r>
      <w:r w:rsidR="002072B5" w:rsidRPr="009833D8">
        <w:t>l</w:t>
      </w:r>
      <w:r w:rsidR="004C6F92" w:rsidRPr="009833D8">
        <w:t>os</w:t>
      </w:r>
      <w:r w:rsidR="002072B5" w:rsidRPr="009833D8">
        <w:t xml:space="preserve"> activos financiero</w:t>
      </w:r>
      <w:r w:rsidR="004C6F92" w:rsidRPr="009833D8">
        <w:t>s</w:t>
      </w:r>
      <w:r w:rsidR="000B057B" w:rsidRPr="009833D8">
        <w:t xml:space="preserve"> </w:t>
      </w:r>
      <w:r w:rsidR="00D52C33">
        <w:t>asciende a</w:t>
      </w:r>
      <w:r w:rsidR="006308F0">
        <w:t xml:space="preserve"> Q4,661.8 millones</w:t>
      </w:r>
      <w:r w:rsidR="002B7AC2">
        <w:t>,</w:t>
      </w:r>
      <w:r w:rsidR="006308F0">
        <w:t xml:space="preserve"> </w:t>
      </w:r>
      <w:r w:rsidR="0043246F">
        <w:t>los cuales se constituye</w:t>
      </w:r>
      <w:r w:rsidR="00141216">
        <w:t>n</w:t>
      </w:r>
      <w:r w:rsidR="0043246F">
        <w:t xml:space="preserve"> </w:t>
      </w:r>
      <w:r w:rsidR="002B7AC2">
        <w:t>en</w:t>
      </w:r>
      <w:r w:rsidR="000B057B" w:rsidRPr="009833D8">
        <w:t xml:space="preserve"> Billetes, Monedas y Depósitos</w:t>
      </w:r>
      <w:r w:rsidR="00491CEB">
        <w:t>,</w:t>
      </w:r>
      <w:r w:rsidR="00AC01BC" w:rsidRPr="009833D8">
        <w:t xml:space="preserve"> </w:t>
      </w:r>
      <w:r w:rsidR="00B93890">
        <w:t>que</w:t>
      </w:r>
      <w:r w:rsidR="00087551">
        <w:t xml:space="preserve"> </w:t>
      </w:r>
      <w:r w:rsidR="00577004">
        <w:t xml:space="preserve">registra un aumento de </w:t>
      </w:r>
      <w:r w:rsidR="00216FC2" w:rsidRPr="009833D8">
        <w:t>Q</w:t>
      </w:r>
      <w:r w:rsidR="00903FB5">
        <w:t>4</w:t>
      </w:r>
      <w:r w:rsidR="00216FC2" w:rsidRPr="009833D8">
        <w:t>,</w:t>
      </w:r>
      <w:r w:rsidR="004052A0">
        <w:t>662.7</w:t>
      </w:r>
      <w:r w:rsidR="00087551">
        <w:t xml:space="preserve"> </w:t>
      </w:r>
      <w:r w:rsidR="00903FB5">
        <w:t>millones</w:t>
      </w:r>
      <w:r w:rsidR="00491CEB">
        <w:t>,</w:t>
      </w:r>
      <w:r w:rsidR="004052A0">
        <w:t xml:space="preserve"> </w:t>
      </w:r>
      <w:r w:rsidR="00807044">
        <w:t xml:space="preserve">y por </w:t>
      </w:r>
      <w:r w:rsidR="004052A0">
        <w:t>l</w:t>
      </w:r>
      <w:r w:rsidR="00C77712">
        <w:t>o</w:t>
      </w:r>
      <w:r w:rsidR="004052A0">
        <w:t>s préstamos</w:t>
      </w:r>
      <w:r w:rsidR="00216FC2" w:rsidRPr="009833D8">
        <w:t xml:space="preserve"> </w:t>
      </w:r>
      <w:r w:rsidR="00807044">
        <w:t xml:space="preserve">que </w:t>
      </w:r>
      <w:r w:rsidR="004052A0">
        <w:t xml:space="preserve">tuvieron una disminución de </w:t>
      </w:r>
      <w:r w:rsidR="00D60953">
        <w:t>Q0.9 millones</w:t>
      </w:r>
      <w:r w:rsidR="00B12D75">
        <w:t xml:space="preserve"> (amortizaciones</w:t>
      </w:r>
      <w:r w:rsidR="00704168">
        <w:t xml:space="preserve"> realizadas</w:t>
      </w:r>
      <w:r w:rsidR="00EC6C38">
        <w:t xml:space="preserve"> al Gobierno Central Presupuestario</w:t>
      </w:r>
      <w:r w:rsidR="00B12D75">
        <w:t>)</w:t>
      </w:r>
      <w:r w:rsidR="004F6CEF" w:rsidRPr="009833D8">
        <w:t>.</w:t>
      </w:r>
      <w:r w:rsidR="00C50577">
        <w:t xml:space="preserve"> </w:t>
      </w:r>
    </w:p>
    <w:p w14:paraId="10F8F297" w14:textId="5BAE3D60" w:rsidR="00470A42" w:rsidRPr="00AC1506" w:rsidRDefault="00470A42" w:rsidP="001A4D7B">
      <w:pPr>
        <w:jc w:val="center"/>
        <w:rPr>
          <w:b/>
          <w:bCs/>
        </w:rPr>
      </w:pPr>
      <w:r w:rsidRPr="00AC1506">
        <w:rPr>
          <w:b/>
          <w:bCs/>
        </w:rPr>
        <w:t xml:space="preserve">Incurrimiento neto de </w:t>
      </w:r>
      <w:r w:rsidR="00512290">
        <w:rPr>
          <w:b/>
          <w:bCs/>
        </w:rPr>
        <w:t>activos financieros</w:t>
      </w:r>
      <w:r w:rsidRPr="00AC1506">
        <w:rPr>
          <w:b/>
          <w:bCs/>
        </w:rPr>
        <w:t xml:space="preserve"> </w:t>
      </w:r>
      <w:r w:rsidR="00ED71F1">
        <w:rPr>
          <w:b/>
          <w:bCs/>
        </w:rPr>
        <w:t>2021</w:t>
      </w:r>
      <w:r w:rsidRPr="00AC1506">
        <w:rPr>
          <w:b/>
          <w:bCs/>
        </w:rPr>
        <w:t>*</w:t>
      </w:r>
    </w:p>
    <w:p w14:paraId="6C188EF3" w14:textId="2A6ECBE8" w:rsidR="00470A42" w:rsidRDefault="00470A42" w:rsidP="006D1A13">
      <w:pPr>
        <w:jc w:val="center"/>
      </w:pPr>
      <w:r w:rsidRPr="00AC1506">
        <w:rPr>
          <w:sz w:val="20"/>
          <w:szCs w:val="22"/>
        </w:rPr>
        <w:t xml:space="preserve">En millones de </w:t>
      </w:r>
      <w:r w:rsidR="003D1F3C">
        <w:rPr>
          <w:sz w:val="20"/>
          <w:szCs w:val="22"/>
        </w:rPr>
        <w:t>q</w:t>
      </w:r>
      <w:r w:rsidRPr="00AC1506">
        <w:rPr>
          <w:sz w:val="20"/>
          <w:szCs w:val="22"/>
        </w:rPr>
        <w:t>uetzales</w:t>
      </w:r>
      <w:r w:rsidR="003D1F3C">
        <w:rPr>
          <w:sz w:val="20"/>
          <w:szCs w:val="22"/>
        </w:rPr>
        <w:t xml:space="preserve"> y porcentajes</w:t>
      </w:r>
    </w:p>
    <w:p w14:paraId="79DAC537" w14:textId="37C9953E" w:rsidR="00731535" w:rsidRPr="00470A42" w:rsidRDefault="00731535" w:rsidP="006D1A13">
      <w:pPr>
        <w:jc w:val="center"/>
      </w:pPr>
      <w:r>
        <w:rPr>
          <w:b/>
          <w:bCs/>
          <w:noProof/>
          <w:lang w:eastAsia="es-GT"/>
        </w:rPr>
        <w:drawing>
          <wp:inline distT="0" distB="0" distL="0" distR="0" wp14:anchorId="6005C3D5" wp14:editId="12D023D2">
            <wp:extent cx="2845435" cy="1612374"/>
            <wp:effectExtent l="0" t="0" r="0" b="698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C3031">
        <w:rPr>
          <w:noProof/>
          <w:lang w:eastAsia="es-GT"/>
        </w:rPr>
        <w:drawing>
          <wp:inline distT="0" distB="0" distL="0" distR="0" wp14:anchorId="4B6F4942" wp14:editId="2921ABF9">
            <wp:extent cx="2600077" cy="164592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419312B" w14:textId="149F8931" w:rsidR="001E71BF" w:rsidRPr="00AC1506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35802C64" w14:textId="66B9117D" w:rsidR="001E71BF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4C082A4D" w14:textId="21CBDE2D" w:rsidR="003554AC" w:rsidRPr="00AC1506" w:rsidRDefault="00B4230B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11" w:name="_Toc71108065"/>
      <w:r>
        <w:rPr>
          <w:rFonts w:ascii="Times New Roman" w:hAnsi="Times New Roman" w:cs="Times New Roman"/>
          <w:color w:val="auto"/>
          <w:sz w:val="24"/>
        </w:rPr>
        <w:lastRenderedPageBreak/>
        <w:t>U</w:t>
      </w:r>
      <w:r w:rsidR="00C35F85">
        <w:rPr>
          <w:rFonts w:ascii="Times New Roman" w:hAnsi="Times New Roman" w:cs="Times New Roman"/>
          <w:color w:val="auto"/>
          <w:sz w:val="24"/>
        </w:rPr>
        <w:t>so</w:t>
      </w:r>
      <w:r w:rsidR="00FF503F">
        <w:rPr>
          <w:rFonts w:ascii="Times New Roman" w:hAnsi="Times New Roman" w:cs="Times New Roman"/>
          <w:color w:val="auto"/>
          <w:sz w:val="24"/>
        </w:rPr>
        <w:t xml:space="preserve"> </w:t>
      </w:r>
      <w:r w:rsidR="00C35F85">
        <w:rPr>
          <w:rFonts w:ascii="Times New Roman" w:hAnsi="Times New Roman" w:cs="Times New Roman"/>
          <w:color w:val="auto"/>
          <w:sz w:val="24"/>
        </w:rPr>
        <w:t>de</w:t>
      </w:r>
      <w:r w:rsidR="0006477B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r w:rsidR="004F7FAD" w:rsidRPr="00AC1506">
        <w:rPr>
          <w:rFonts w:ascii="Times New Roman" w:hAnsi="Times New Roman" w:cs="Times New Roman"/>
          <w:color w:val="auto"/>
          <w:sz w:val="24"/>
        </w:rPr>
        <w:t>pasivos</w:t>
      </w:r>
      <w:r w:rsidR="0089322A">
        <w:rPr>
          <w:rFonts w:ascii="Times New Roman" w:hAnsi="Times New Roman" w:cs="Times New Roman"/>
          <w:color w:val="auto"/>
          <w:sz w:val="24"/>
        </w:rPr>
        <w:t xml:space="preserve"> como fuente de financiamiento</w:t>
      </w:r>
      <w:bookmarkEnd w:id="411"/>
    </w:p>
    <w:p w14:paraId="5B3B9757" w14:textId="25AB6FB5" w:rsidR="0074383C" w:rsidRPr="00AC1506" w:rsidRDefault="00370859" w:rsidP="00122F2F">
      <w:r>
        <w:t>Al</w:t>
      </w:r>
      <w:r w:rsidR="00767B6E">
        <w:t xml:space="preserve"> finalizar el primer trimestre, </w:t>
      </w:r>
      <w:r w:rsidR="00157E39">
        <w:t xml:space="preserve">se observa un </w:t>
      </w:r>
      <w:r w:rsidR="00767B6E">
        <w:t>incremento</w:t>
      </w:r>
      <w:r w:rsidR="00FF503F">
        <w:t xml:space="preserve"> </w:t>
      </w:r>
      <w:r w:rsidR="002D4AEA">
        <w:t xml:space="preserve">por </w:t>
      </w:r>
      <w:r w:rsidR="00FF503F">
        <w:t>Q</w:t>
      </w:r>
      <w:r w:rsidR="002D4AEA">
        <w:t>5</w:t>
      </w:r>
      <w:r w:rsidR="00FF503F">
        <w:t>,</w:t>
      </w:r>
      <w:r w:rsidR="002D4AEA">
        <w:t>927.5</w:t>
      </w:r>
      <w:r w:rsidR="00FF503F">
        <w:t xml:space="preserve"> millones </w:t>
      </w:r>
      <w:r w:rsidR="00B045D6">
        <w:t>en</w:t>
      </w:r>
      <w:r w:rsidR="00F60E5F">
        <w:t xml:space="preserve"> </w:t>
      </w:r>
      <w:r w:rsidR="002C3671">
        <w:t>los</w:t>
      </w:r>
      <w:r w:rsidR="0031152E">
        <w:t xml:space="preserve"> pasivos</w:t>
      </w:r>
      <w:r w:rsidR="002D4AEA">
        <w:t xml:space="preserve"> financieros</w:t>
      </w:r>
      <w:r w:rsidR="0031152E">
        <w:t>, de los cuales</w:t>
      </w:r>
      <w:r w:rsidR="009F000B">
        <w:t xml:space="preserve"> Q</w:t>
      </w:r>
      <w:r w:rsidR="003E2AD9">
        <w:t>6,764.3 millones</w:t>
      </w:r>
      <w:r w:rsidR="007133FE">
        <w:t>,</w:t>
      </w:r>
      <w:r w:rsidR="003E2AD9">
        <w:t xml:space="preserve"> </w:t>
      </w:r>
      <w:r w:rsidR="007133FE">
        <w:t>son</w:t>
      </w:r>
      <w:r w:rsidR="0031152E">
        <w:t xml:space="preserve"> </w:t>
      </w:r>
      <w:r w:rsidR="00F95229">
        <w:t>producto de</w:t>
      </w:r>
      <w:r w:rsidR="00C431E5">
        <w:t xml:space="preserve"> la colocación</w:t>
      </w:r>
      <w:r w:rsidR="003E2AD9">
        <w:t xml:space="preserve"> </w:t>
      </w:r>
      <w:r w:rsidR="004F757F">
        <w:t xml:space="preserve">neta </w:t>
      </w:r>
      <w:r w:rsidR="00C431E5">
        <w:t xml:space="preserve">de </w:t>
      </w:r>
      <w:r w:rsidR="00E87655">
        <w:t>títulos de deuda</w:t>
      </w:r>
      <w:r w:rsidR="00A24EC4">
        <w:t xml:space="preserve"> (bonos del tesoro)</w:t>
      </w:r>
      <w:r>
        <w:t xml:space="preserve"> </w:t>
      </w:r>
      <w:r w:rsidR="00DD19C1">
        <w:t xml:space="preserve">y </w:t>
      </w:r>
      <w:r w:rsidR="003E2AD9">
        <w:t xml:space="preserve">la </w:t>
      </w:r>
      <w:r w:rsidR="00E836CD">
        <w:t>amortización</w:t>
      </w:r>
      <w:r w:rsidR="003E2AD9">
        <w:t xml:space="preserve"> </w:t>
      </w:r>
      <w:r w:rsidR="004F757F">
        <w:t xml:space="preserve">neta </w:t>
      </w:r>
      <w:r w:rsidR="00E836CD">
        <w:t>realizada de préstamos por un valor de</w:t>
      </w:r>
      <w:r w:rsidR="00DD19C1">
        <w:t xml:space="preserve"> </w:t>
      </w:r>
      <w:r w:rsidR="003D1F3C">
        <w:t>Q</w:t>
      </w:r>
      <w:r>
        <w:t>8</w:t>
      </w:r>
      <w:r w:rsidR="00E836CD">
        <w:t>36</w:t>
      </w:r>
      <w:r>
        <w:t>.8</w:t>
      </w:r>
      <w:r w:rsidR="00DD19C1">
        <w:t xml:space="preserve"> millones</w:t>
      </w:r>
      <w:r w:rsidR="00F6275C">
        <w:t>.</w:t>
      </w:r>
    </w:p>
    <w:p w14:paraId="61716B5A" w14:textId="77777777" w:rsidR="00996BD9" w:rsidRPr="00AC1506" w:rsidRDefault="00996BD9" w:rsidP="00122F2F"/>
    <w:tbl>
      <w:tblPr>
        <w:tblStyle w:val="Tablaconcuadrcula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7"/>
        <w:gridCol w:w="4028"/>
      </w:tblGrid>
      <w:tr w:rsidR="0061446B" w:rsidRPr="00AC1506" w14:paraId="5A6B12E2" w14:textId="77777777" w:rsidTr="006D1A13">
        <w:trPr>
          <w:trHeight w:val="274"/>
          <w:jc w:val="center"/>
        </w:trPr>
        <w:tc>
          <w:tcPr>
            <w:tcW w:w="9425" w:type="dxa"/>
            <w:gridSpan w:val="2"/>
          </w:tcPr>
          <w:p w14:paraId="4C44021A" w14:textId="544D721D" w:rsidR="0061446B" w:rsidRPr="00AC1506" w:rsidRDefault="0061446B" w:rsidP="000D2DE9">
            <w:pPr>
              <w:jc w:val="center"/>
              <w:rPr>
                <w:b/>
                <w:bCs/>
              </w:rPr>
            </w:pPr>
            <w:r w:rsidRPr="00AC1506">
              <w:rPr>
                <w:b/>
                <w:bCs/>
              </w:rPr>
              <w:t>Incurrimiento neto de pasivos</w:t>
            </w:r>
            <w:r w:rsidR="009D176B" w:rsidRPr="00AC1506">
              <w:rPr>
                <w:b/>
                <w:bCs/>
              </w:rPr>
              <w:t xml:space="preserve"> 202</w:t>
            </w:r>
            <w:r w:rsidR="00DE1A37">
              <w:rPr>
                <w:b/>
                <w:bCs/>
              </w:rPr>
              <w:t>1</w:t>
            </w:r>
            <w:r w:rsidR="009D176B" w:rsidRPr="00AC1506">
              <w:rPr>
                <w:b/>
                <w:bCs/>
              </w:rPr>
              <w:t>*</w:t>
            </w:r>
          </w:p>
          <w:p w14:paraId="1D8D8D1B" w14:textId="68E6BD4C" w:rsidR="0061446B" w:rsidRPr="00AC1506" w:rsidRDefault="0061446B" w:rsidP="00D319A6">
            <w:pPr>
              <w:jc w:val="center"/>
            </w:pPr>
            <w:r w:rsidRPr="00AC1506">
              <w:rPr>
                <w:sz w:val="20"/>
                <w:szCs w:val="22"/>
              </w:rPr>
              <w:t xml:space="preserve">En </w:t>
            </w:r>
            <w:r w:rsidR="006535F3" w:rsidRPr="00AC1506">
              <w:rPr>
                <w:sz w:val="20"/>
                <w:szCs w:val="22"/>
              </w:rPr>
              <w:t>millones</w:t>
            </w:r>
            <w:r w:rsidRPr="00AC1506">
              <w:rPr>
                <w:sz w:val="20"/>
                <w:szCs w:val="22"/>
              </w:rPr>
              <w:t xml:space="preserve"> de Quetzales</w:t>
            </w:r>
          </w:p>
        </w:tc>
      </w:tr>
      <w:tr w:rsidR="00D36792" w:rsidRPr="00AC1506" w14:paraId="4F3B5502" w14:textId="77777777" w:rsidTr="006D1A13">
        <w:trPr>
          <w:trHeight w:val="2962"/>
          <w:jc w:val="center"/>
        </w:trPr>
        <w:tc>
          <w:tcPr>
            <w:tcW w:w="5397" w:type="dxa"/>
            <w:shd w:val="clear" w:color="auto" w:fill="auto"/>
          </w:tcPr>
          <w:p w14:paraId="58C04C48" w14:textId="506EDA07" w:rsidR="00F674B9" w:rsidRPr="00AC1506" w:rsidRDefault="00F674B9" w:rsidP="00950312">
            <w:r w:rsidRPr="00AC1506">
              <w:rPr>
                <w:noProof/>
                <w:lang w:eastAsia="es-GT"/>
              </w:rPr>
              <w:drawing>
                <wp:inline distT="0" distB="0" distL="0" distR="0" wp14:anchorId="4F3AC779" wp14:editId="4FAF3105">
                  <wp:extent cx="3370835" cy="2016125"/>
                  <wp:effectExtent l="0" t="0" r="1270" b="3175"/>
                  <wp:docPr id="10" name="Gráfico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14:paraId="643B3A60" w14:textId="2C0681A2" w:rsidR="00F674B9" w:rsidRPr="00AC1506" w:rsidRDefault="00311363" w:rsidP="00122F2F">
            <w:r w:rsidRPr="00AC1506">
              <w:rPr>
                <w:noProof/>
                <w:lang w:eastAsia="es-GT"/>
              </w:rPr>
              <w:drawing>
                <wp:inline distT="0" distB="0" distL="0" distR="0" wp14:anchorId="10A80184" wp14:editId="468B098C">
                  <wp:extent cx="2548255" cy="2016125"/>
                  <wp:effectExtent l="0" t="0" r="4445" b="3175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14:paraId="6A5269AC" w14:textId="77777777" w:rsidR="00757CF9" w:rsidRPr="00AC1506" w:rsidRDefault="00757CF9" w:rsidP="00C17472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76ACDBF3" w14:textId="2B10BD3E" w:rsidR="00757CF9" w:rsidRDefault="00757CF9" w:rsidP="00C17472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3C38C3B3" w14:textId="26F5FFF7" w:rsidR="00C35F85" w:rsidRDefault="00C35F85" w:rsidP="00C17472">
      <w:pPr>
        <w:rPr>
          <w:rFonts w:cs="Times New Roman"/>
          <w:sz w:val="16"/>
          <w:szCs w:val="22"/>
          <w:lang w:val="es-MX"/>
        </w:rPr>
      </w:pPr>
    </w:p>
    <w:p w14:paraId="36D61A0C" w14:textId="43923855" w:rsidR="00F4077C" w:rsidRPr="00AC1506" w:rsidRDefault="00F4077C" w:rsidP="00C34A03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12" w:name="_Toc42023970"/>
      <w:bookmarkStart w:id="413" w:name="_Toc42024021"/>
      <w:bookmarkStart w:id="414" w:name="_Toc42023971"/>
      <w:bookmarkStart w:id="415" w:name="_Toc42024022"/>
      <w:bookmarkStart w:id="416" w:name="_Toc42023972"/>
      <w:bookmarkStart w:id="417" w:name="_Toc42024023"/>
      <w:bookmarkStart w:id="418" w:name="_Toc42023973"/>
      <w:bookmarkStart w:id="419" w:name="_Toc42024024"/>
      <w:bookmarkStart w:id="420" w:name="_Toc71108066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Erogaciones</w:t>
      </w:r>
      <w:r w:rsidR="00B50E45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420"/>
    </w:p>
    <w:p w14:paraId="05EC6345" w14:textId="162B0184" w:rsidR="007A76CD" w:rsidRPr="00AC1506" w:rsidRDefault="007A76CD" w:rsidP="00594050">
      <w:pPr>
        <w:rPr>
          <w:rFonts w:cs="Times New Roman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7325B34" wp14:editId="59961A01">
            <wp:extent cx="5836920" cy="876300"/>
            <wp:effectExtent l="76200" t="38100" r="87630" b="11430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610733CC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21" w:name="_Toc42023975"/>
      <w:bookmarkStart w:id="422" w:name="_Toc42024026"/>
      <w:bookmarkStart w:id="423" w:name="_Toc42069116"/>
      <w:bookmarkStart w:id="424" w:name="_Toc49422062"/>
      <w:bookmarkStart w:id="425" w:name="_Toc49422088"/>
      <w:bookmarkStart w:id="426" w:name="_Toc49430667"/>
      <w:bookmarkStart w:id="427" w:name="_Toc49430693"/>
      <w:bookmarkStart w:id="428" w:name="_Toc49750470"/>
      <w:bookmarkStart w:id="429" w:name="_Toc49750720"/>
      <w:bookmarkStart w:id="430" w:name="_Toc49750748"/>
      <w:bookmarkStart w:id="431" w:name="_Toc55284834"/>
      <w:bookmarkStart w:id="432" w:name="_Toc55298852"/>
      <w:bookmarkStart w:id="433" w:name="_Toc55373835"/>
      <w:bookmarkStart w:id="434" w:name="_Toc55374009"/>
      <w:bookmarkStart w:id="435" w:name="_Toc55375146"/>
      <w:bookmarkStart w:id="436" w:name="_Toc55396554"/>
      <w:bookmarkStart w:id="437" w:name="_Toc65230551"/>
      <w:bookmarkStart w:id="438" w:name="_Toc65230789"/>
      <w:bookmarkStart w:id="439" w:name="_Toc65232073"/>
      <w:bookmarkStart w:id="440" w:name="_Toc65232318"/>
      <w:bookmarkStart w:id="441" w:name="_Toc66716177"/>
      <w:bookmarkStart w:id="442" w:name="_Toc71097221"/>
      <w:bookmarkStart w:id="443" w:name="_Toc71097252"/>
      <w:bookmarkStart w:id="444" w:name="_Toc71097327"/>
      <w:bookmarkStart w:id="445" w:name="_Toc71108067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</w:p>
    <w:p w14:paraId="7A2C8EAB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46" w:name="_Toc55374010"/>
      <w:bookmarkStart w:id="447" w:name="_Toc55375147"/>
      <w:bookmarkStart w:id="448" w:name="_Toc55396555"/>
      <w:bookmarkStart w:id="449" w:name="_Toc65230552"/>
      <w:bookmarkStart w:id="450" w:name="_Toc65230790"/>
      <w:bookmarkStart w:id="451" w:name="_Toc65232074"/>
      <w:bookmarkStart w:id="452" w:name="_Toc65232319"/>
      <w:bookmarkStart w:id="453" w:name="_Toc66716178"/>
      <w:bookmarkStart w:id="454" w:name="_Toc71097222"/>
      <w:bookmarkStart w:id="455" w:name="_Toc71097253"/>
      <w:bookmarkStart w:id="456" w:name="_Toc71097328"/>
      <w:bookmarkStart w:id="457" w:name="_Toc71108068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p w14:paraId="75B8F6A8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58" w:name="_Toc55374011"/>
      <w:bookmarkStart w:id="459" w:name="_Toc55375148"/>
      <w:bookmarkStart w:id="460" w:name="_Toc55396556"/>
      <w:bookmarkStart w:id="461" w:name="_Toc65230553"/>
      <w:bookmarkStart w:id="462" w:name="_Toc65230791"/>
      <w:bookmarkStart w:id="463" w:name="_Toc65232075"/>
      <w:bookmarkStart w:id="464" w:name="_Toc65232320"/>
      <w:bookmarkStart w:id="465" w:name="_Toc66716179"/>
      <w:bookmarkStart w:id="466" w:name="_Toc71097223"/>
      <w:bookmarkStart w:id="467" w:name="_Toc71097254"/>
      <w:bookmarkStart w:id="468" w:name="_Toc71097329"/>
      <w:bookmarkStart w:id="469" w:name="_Toc71108069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</w:p>
    <w:p w14:paraId="28E96994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70" w:name="_Toc55374012"/>
      <w:bookmarkStart w:id="471" w:name="_Toc55375149"/>
      <w:bookmarkStart w:id="472" w:name="_Toc55396557"/>
      <w:bookmarkStart w:id="473" w:name="_Toc65230554"/>
      <w:bookmarkStart w:id="474" w:name="_Toc65230792"/>
      <w:bookmarkStart w:id="475" w:name="_Toc65232076"/>
      <w:bookmarkStart w:id="476" w:name="_Toc65232321"/>
      <w:bookmarkStart w:id="477" w:name="_Toc66716180"/>
      <w:bookmarkStart w:id="478" w:name="_Toc71097224"/>
      <w:bookmarkStart w:id="479" w:name="_Toc71097255"/>
      <w:bookmarkStart w:id="480" w:name="_Toc71097330"/>
      <w:bookmarkStart w:id="481" w:name="_Toc71108070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14:paraId="6DDEDF75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82" w:name="_Toc55374013"/>
      <w:bookmarkStart w:id="483" w:name="_Toc55375150"/>
      <w:bookmarkStart w:id="484" w:name="_Toc55396558"/>
      <w:bookmarkStart w:id="485" w:name="_Toc65230555"/>
      <w:bookmarkStart w:id="486" w:name="_Toc65230793"/>
      <w:bookmarkStart w:id="487" w:name="_Toc65232077"/>
      <w:bookmarkStart w:id="488" w:name="_Toc65232322"/>
      <w:bookmarkStart w:id="489" w:name="_Toc66716181"/>
      <w:bookmarkStart w:id="490" w:name="_Toc71097225"/>
      <w:bookmarkStart w:id="491" w:name="_Toc71097256"/>
      <w:bookmarkStart w:id="492" w:name="_Toc71097331"/>
      <w:bookmarkStart w:id="493" w:name="_Toc7110807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</w:p>
    <w:p w14:paraId="5A528A9D" w14:textId="77777777" w:rsidR="00C56688" w:rsidRPr="00C56688" w:rsidRDefault="00C56688" w:rsidP="00C56688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94" w:name="_Toc55374014"/>
      <w:bookmarkStart w:id="495" w:name="_Toc55375151"/>
      <w:bookmarkStart w:id="496" w:name="_Toc55396559"/>
      <w:bookmarkStart w:id="497" w:name="_Toc65230556"/>
      <w:bookmarkStart w:id="498" w:name="_Toc65230794"/>
      <w:bookmarkStart w:id="499" w:name="_Toc65232078"/>
      <w:bookmarkStart w:id="500" w:name="_Toc65232323"/>
      <w:bookmarkStart w:id="501" w:name="_Toc66716182"/>
      <w:bookmarkStart w:id="502" w:name="_Toc71097226"/>
      <w:bookmarkStart w:id="503" w:name="_Toc71097257"/>
      <w:bookmarkStart w:id="504" w:name="_Toc71097332"/>
      <w:bookmarkStart w:id="505" w:name="_Toc71108072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</w:p>
    <w:p w14:paraId="0AE5E41B" w14:textId="5966DDA9" w:rsidR="00490038" w:rsidRPr="00C56688" w:rsidRDefault="00490038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506" w:name="_Toc71108073"/>
      <w:r w:rsidRPr="00AC1506">
        <w:rPr>
          <w:rFonts w:ascii="Times New Roman" w:hAnsi="Times New Roman" w:cs="Times New Roman"/>
          <w:color w:val="auto"/>
          <w:sz w:val="24"/>
        </w:rPr>
        <w:t>Erogaciones por Función</w:t>
      </w:r>
      <w:bookmarkEnd w:id="506"/>
    </w:p>
    <w:p w14:paraId="7EA49BC5" w14:textId="228E497E" w:rsidR="009D139A" w:rsidRPr="00AC1506" w:rsidRDefault="00984757" w:rsidP="00CD34D6">
      <w:pPr>
        <w:rPr>
          <w:rFonts w:cs="Times New Roman"/>
        </w:rPr>
      </w:pPr>
      <w:r w:rsidRPr="00AC1506">
        <w:rPr>
          <w:rFonts w:cs="Times New Roman"/>
        </w:rPr>
        <w:t xml:space="preserve">La </w:t>
      </w:r>
      <w:r w:rsidR="009D139A" w:rsidRPr="00AC1506">
        <w:rPr>
          <w:rFonts w:cs="Times New Roman"/>
        </w:rPr>
        <w:t xml:space="preserve">erogación del </w:t>
      </w:r>
      <w:r w:rsidR="00626984" w:rsidRPr="00AC1506">
        <w:rPr>
          <w:rFonts w:cs="Times New Roman"/>
        </w:rPr>
        <w:t>G</w:t>
      </w:r>
      <w:r w:rsidR="009D139A" w:rsidRPr="00AC1506">
        <w:rPr>
          <w:rFonts w:cs="Times New Roman"/>
        </w:rPr>
        <w:t xml:space="preserve">obierno </w:t>
      </w:r>
      <w:r w:rsidR="00626984" w:rsidRPr="00AC1506">
        <w:rPr>
          <w:rFonts w:cs="Times New Roman"/>
        </w:rPr>
        <w:t>C</w:t>
      </w:r>
      <w:r w:rsidR="009D139A" w:rsidRPr="00AC1506">
        <w:rPr>
          <w:rFonts w:cs="Times New Roman"/>
        </w:rPr>
        <w:t xml:space="preserve">entral </w:t>
      </w:r>
      <w:r w:rsidR="00626984" w:rsidRPr="00AC1506">
        <w:rPr>
          <w:rFonts w:cs="Times New Roman"/>
        </w:rPr>
        <w:t>P</w:t>
      </w:r>
      <w:r w:rsidR="009D139A" w:rsidRPr="00AC1506">
        <w:rPr>
          <w:rFonts w:cs="Times New Roman"/>
        </w:rPr>
        <w:t xml:space="preserve">resupuestario </w:t>
      </w:r>
      <w:r w:rsidR="00494972">
        <w:rPr>
          <w:rFonts w:cs="Times New Roman"/>
        </w:rPr>
        <w:t>a</w:t>
      </w:r>
      <w:r w:rsidR="009D139A" w:rsidRPr="00AC1506">
        <w:rPr>
          <w:rFonts w:cs="Times New Roman"/>
        </w:rPr>
        <w:t xml:space="preserve"> </w:t>
      </w:r>
      <w:r w:rsidR="00E16F72">
        <w:rPr>
          <w:rFonts w:cs="Times New Roman"/>
        </w:rPr>
        <w:t>marzo</w:t>
      </w:r>
      <w:r w:rsidR="00494972">
        <w:rPr>
          <w:rFonts w:cs="Times New Roman"/>
        </w:rPr>
        <w:t xml:space="preserve"> 2021</w:t>
      </w:r>
      <w:r w:rsidR="00C248CC">
        <w:rPr>
          <w:rFonts w:cs="Times New Roman"/>
        </w:rPr>
        <w:t xml:space="preserve"> asciende a </w:t>
      </w:r>
      <w:r w:rsidR="009D139A" w:rsidRPr="00AC1506">
        <w:rPr>
          <w:rFonts w:cs="Times New Roman"/>
        </w:rPr>
        <w:t>Q</w:t>
      </w:r>
      <w:r w:rsidR="00A72706">
        <w:rPr>
          <w:rFonts w:cs="Times New Roman"/>
        </w:rPr>
        <w:t>17</w:t>
      </w:r>
      <w:r w:rsidR="009D139A" w:rsidRPr="00AC1506">
        <w:rPr>
          <w:rFonts w:cs="Times New Roman"/>
        </w:rPr>
        <w:t>,</w:t>
      </w:r>
      <w:r w:rsidR="00A72706">
        <w:rPr>
          <w:rFonts w:cs="Times New Roman"/>
        </w:rPr>
        <w:t>70</w:t>
      </w:r>
      <w:r w:rsidR="00F66B11">
        <w:rPr>
          <w:rFonts w:cs="Times New Roman"/>
        </w:rPr>
        <w:t>4.</w:t>
      </w:r>
      <w:r w:rsidR="00A72706">
        <w:rPr>
          <w:rFonts w:cs="Times New Roman"/>
        </w:rPr>
        <w:t>5</w:t>
      </w:r>
      <w:r w:rsidR="009D139A" w:rsidRPr="00AC1506">
        <w:rPr>
          <w:rFonts w:cs="Times New Roman"/>
        </w:rPr>
        <w:t xml:space="preserve"> millones</w:t>
      </w:r>
      <w:r w:rsidR="009627BC" w:rsidRPr="00AC1506">
        <w:rPr>
          <w:rFonts w:cs="Times New Roman"/>
        </w:rPr>
        <w:t xml:space="preserve">, </w:t>
      </w:r>
      <w:r w:rsidR="0040414E">
        <w:rPr>
          <w:rFonts w:cs="Times New Roman"/>
        </w:rPr>
        <w:t>siendo esto</w:t>
      </w:r>
      <w:r w:rsidR="002375A0">
        <w:rPr>
          <w:rFonts w:cs="Times New Roman"/>
        </w:rPr>
        <w:t xml:space="preserve"> un incremento interanual del 1.</w:t>
      </w:r>
      <w:r w:rsidR="002B4EDF">
        <w:rPr>
          <w:rFonts w:cs="Times New Roman"/>
        </w:rPr>
        <w:t>6</w:t>
      </w:r>
      <w:r w:rsidR="0040414E">
        <w:rPr>
          <w:rFonts w:cs="Times New Roman"/>
        </w:rPr>
        <w:t>%</w:t>
      </w:r>
      <w:r w:rsidR="003D2D1B">
        <w:rPr>
          <w:rFonts w:cs="Times New Roman"/>
        </w:rPr>
        <w:t>,</w:t>
      </w:r>
      <w:r w:rsidR="0040414E">
        <w:rPr>
          <w:rFonts w:cs="Times New Roman"/>
        </w:rPr>
        <w:t xml:space="preserve"> equivalente a </w:t>
      </w:r>
      <w:r w:rsidR="009627BC" w:rsidRPr="00AC1506">
        <w:rPr>
          <w:rFonts w:cs="Times New Roman"/>
        </w:rPr>
        <w:t>Q</w:t>
      </w:r>
      <w:r w:rsidR="002B4EDF">
        <w:rPr>
          <w:rFonts w:cs="Times New Roman"/>
        </w:rPr>
        <w:t>270</w:t>
      </w:r>
      <w:r w:rsidR="001F25FC">
        <w:rPr>
          <w:rFonts w:cs="Times New Roman"/>
        </w:rPr>
        <w:t>.</w:t>
      </w:r>
      <w:r w:rsidR="002B4EDF">
        <w:rPr>
          <w:rFonts w:cs="Times New Roman"/>
        </w:rPr>
        <w:t>8</w:t>
      </w:r>
      <w:r w:rsidR="009627BC" w:rsidRPr="00AC1506">
        <w:rPr>
          <w:rFonts w:cs="Times New Roman"/>
        </w:rPr>
        <w:t xml:space="preserve"> millones</w:t>
      </w:r>
      <w:r w:rsidR="009F28DC">
        <w:rPr>
          <w:rFonts w:cs="Times New Roman"/>
        </w:rPr>
        <w:t xml:space="preserve">. </w:t>
      </w:r>
      <w:r w:rsidR="00687E61">
        <w:rPr>
          <w:rFonts w:cs="Times New Roman"/>
        </w:rPr>
        <w:t>Las principales fuentes del</w:t>
      </w:r>
      <w:r w:rsidR="00D71567">
        <w:rPr>
          <w:rFonts w:cs="Times New Roman"/>
        </w:rPr>
        <w:t xml:space="preserve"> aumento </w:t>
      </w:r>
      <w:r w:rsidR="00BB5924">
        <w:rPr>
          <w:rFonts w:cs="Times New Roman"/>
        </w:rPr>
        <w:t xml:space="preserve">se encuentra en las erogaciones </w:t>
      </w:r>
      <w:r w:rsidR="001C677D">
        <w:rPr>
          <w:rFonts w:cs="Times New Roman"/>
        </w:rPr>
        <w:t>para la</w:t>
      </w:r>
      <w:r w:rsidR="005F2D60">
        <w:rPr>
          <w:rFonts w:cs="Times New Roman"/>
        </w:rPr>
        <w:t xml:space="preserve"> función de</w:t>
      </w:r>
      <w:r w:rsidR="00BB5924">
        <w:rPr>
          <w:rFonts w:cs="Times New Roman"/>
        </w:rPr>
        <w:t xml:space="preserve"> salud, las cuales ascienden a </w:t>
      </w:r>
      <w:r w:rsidR="005F2D60">
        <w:rPr>
          <w:rFonts w:cs="Times New Roman"/>
        </w:rPr>
        <w:t xml:space="preserve">Q1,710.3 millones y siendo una variación interanual </w:t>
      </w:r>
      <w:r w:rsidR="006A71A2">
        <w:rPr>
          <w:rFonts w:cs="Times New Roman"/>
        </w:rPr>
        <w:t>del 19.1% (Q274.8 millones)</w:t>
      </w:r>
      <w:r w:rsidR="001C677D">
        <w:rPr>
          <w:rFonts w:cs="Times New Roman"/>
        </w:rPr>
        <w:t xml:space="preserve"> seguido por </w:t>
      </w:r>
      <w:r w:rsidR="00071810">
        <w:rPr>
          <w:rFonts w:cs="Times New Roman"/>
        </w:rPr>
        <w:t>las erogaciones enfocadas en asuntos económicos</w:t>
      </w:r>
      <w:r w:rsidR="00ED71F1">
        <w:rPr>
          <w:rFonts w:cs="Times New Roman"/>
        </w:rPr>
        <w:t>,</w:t>
      </w:r>
      <w:r w:rsidR="00071810">
        <w:rPr>
          <w:rFonts w:cs="Times New Roman"/>
        </w:rPr>
        <w:t xml:space="preserve"> </w:t>
      </w:r>
      <w:r w:rsidR="00B47360">
        <w:rPr>
          <w:rFonts w:cs="Times New Roman"/>
        </w:rPr>
        <w:t xml:space="preserve">que </w:t>
      </w:r>
      <w:r w:rsidR="00323933">
        <w:rPr>
          <w:rFonts w:cs="Times New Roman"/>
        </w:rPr>
        <w:t>al finalizar el primer trimestre se encuentran entorno a los</w:t>
      </w:r>
      <w:r w:rsidR="00071810">
        <w:rPr>
          <w:rFonts w:cs="Times New Roman"/>
        </w:rPr>
        <w:t xml:space="preserve"> Q</w:t>
      </w:r>
      <w:r w:rsidR="00B335A3">
        <w:rPr>
          <w:rFonts w:cs="Times New Roman"/>
        </w:rPr>
        <w:t>1,010.2 millones con una tasa de crecimiento del 24.7% (Q</w:t>
      </w:r>
      <w:r w:rsidR="00687E61">
        <w:rPr>
          <w:rFonts w:cs="Times New Roman"/>
        </w:rPr>
        <w:t xml:space="preserve">200.2 millones) y </w:t>
      </w:r>
      <w:r w:rsidR="003F400E">
        <w:rPr>
          <w:rFonts w:cs="Times New Roman"/>
        </w:rPr>
        <w:t>seguido por las erogaciones destinadas a</w:t>
      </w:r>
      <w:r w:rsidR="001C677D">
        <w:rPr>
          <w:rFonts w:cs="Times New Roman"/>
        </w:rPr>
        <w:t xml:space="preserve"> servicios públicos generales</w:t>
      </w:r>
      <w:r w:rsidR="003F400E">
        <w:rPr>
          <w:rFonts w:cs="Times New Roman"/>
        </w:rPr>
        <w:t>,</w:t>
      </w:r>
      <w:r w:rsidR="001C677D">
        <w:rPr>
          <w:rFonts w:cs="Times New Roman"/>
        </w:rPr>
        <w:t xml:space="preserve"> </w:t>
      </w:r>
      <w:r w:rsidR="00FE7DB8">
        <w:rPr>
          <w:rFonts w:cs="Times New Roman"/>
        </w:rPr>
        <w:t xml:space="preserve">que se colocan en los </w:t>
      </w:r>
      <w:r w:rsidR="00BD0FE2">
        <w:rPr>
          <w:rFonts w:cs="Times New Roman"/>
        </w:rPr>
        <w:t>Q2,952.2 millones con una variación del 6.2% (</w:t>
      </w:r>
      <w:r w:rsidR="00435292">
        <w:rPr>
          <w:rFonts w:cs="Times New Roman"/>
        </w:rPr>
        <w:t>Q172.4 millones)</w:t>
      </w:r>
      <w:r w:rsidR="00FE7DB8">
        <w:rPr>
          <w:rFonts w:cs="Times New Roman"/>
        </w:rPr>
        <w:t xml:space="preserve"> respecto al mismo periodo del año previo</w:t>
      </w:r>
      <w:r w:rsidR="00F76F31">
        <w:rPr>
          <w:rFonts w:cs="Times New Roman"/>
        </w:rPr>
        <w:t>.</w:t>
      </w:r>
    </w:p>
    <w:p w14:paraId="127B3F98" w14:textId="1D436C4F" w:rsidR="004E7411" w:rsidRPr="00AC1506" w:rsidRDefault="004E7411" w:rsidP="00CD34D6">
      <w:pPr>
        <w:rPr>
          <w:rFonts w:cs="Times New Roman"/>
        </w:rPr>
      </w:pPr>
    </w:p>
    <w:p w14:paraId="3E9ECE1E" w14:textId="58A8F187" w:rsidR="004E7411" w:rsidRPr="00AC1506" w:rsidRDefault="00F73F95" w:rsidP="00CD34D6">
      <w:pPr>
        <w:rPr>
          <w:rFonts w:cs="Times New Roman"/>
        </w:rPr>
      </w:pPr>
      <w:r>
        <w:rPr>
          <w:rFonts w:cs="Times New Roman"/>
        </w:rPr>
        <w:t>Por su parte,</w:t>
      </w:r>
      <w:r w:rsidR="00AE440E">
        <w:rPr>
          <w:rFonts w:cs="Times New Roman"/>
        </w:rPr>
        <w:t xml:space="preserve"> las erogaciones que han tenido las di</w:t>
      </w:r>
      <w:r w:rsidR="006C6511">
        <w:rPr>
          <w:rFonts w:cs="Times New Roman"/>
        </w:rPr>
        <w:t>s</w:t>
      </w:r>
      <w:r w:rsidR="00AE440E">
        <w:rPr>
          <w:rFonts w:cs="Times New Roman"/>
        </w:rPr>
        <w:t xml:space="preserve">minuciones interanuales más importantes han sido las destinadas a </w:t>
      </w:r>
      <w:r w:rsidR="00820A92">
        <w:rPr>
          <w:rFonts w:cs="Times New Roman"/>
        </w:rPr>
        <w:t xml:space="preserve">funciones de </w:t>
      </w:r>
      <w:r w:rsidR="00C11FC3">
        <w:rPr>
          <w:rFonts w:cs="Times New Roman"/>
        </w:rPr>
        <w:t>educación</w:t>
      </w:r>
      <w:r w:rsidR="00FA6026">
        <w:rPr>
          <w:rFonts w:cs="Times New Roman"/>
        </w:rPr>
        <w:t>,</w:t>
      </w:r>
      <w:r w:rsidR="00C11FC3">
        <w:rPr>
          <w:rFonts w:cs="Times New Roman"/>
        </w:rPr>
        <w:t xml:space="preserve"> que ascienden a Q4,735.5 millones, </w:t>
      </w:r>
      <w:r w:rsidR="00EC4F70">
        <w:rPr>
          <w:rFonts w:cs="Times New Roman"/>
        </w:rPr>
        <w:t>teniendo</w:t>
      </w:r>
      <w:r w:rsidR="00C11FC3">
        <w:rPr>
          <w:rFonts w:cs="Times New Roman"/>
        </w:rPr>
        <w:t xml:space="preserve"> una </w:t>
      </w:r>
      <w:r w:rsidR="009B4E42">
        <w:rPr>
          <w:rFonts w:cs="Times New Roman"/>
        </w:rPr>
        <w:t>variación interanual negativa de 3.4</w:t>
      </w:r>
      <w:r w:rsidR="009C6E5F">
        <w:rPr>
          <w:rFonts w:cs="Times New Roman"/>
        </w:rPr>
        <w:t>%</w:t>
      </w:r>
      <w:r w:rsidR="009B4E42">
        <w:rPr>
          <w:rFonts w:cs="Times New Roman"/>
        </w:rPr>
        <w:t xml:space="preserve"> (Q169.1 millones)</w:t>
      </w:r>
      <w:r w:rsidR="00EC4F70">
        <w:rPr>
          <w:rFonts w:cs="Times New Roman"/>
        </w:rPr>
        <w:t xml:space="preserve"> y siendo la subcategoría de servicios auxiliares de la educación la que </w:t>
      </w:r>
      <w:r w:rsidR="00A91320">
        <w:rPr>
          <w:rFonts w:cs="Times New Roman"/>
        </w:rPr>
        <w:t>sufrió la mayor reducción por Q355.6 millones</w:t>
      </w:r>
      <w:r w:rsidR="00AC4B9A">
        <w:rPr>
          <w:rFonts w:cs="Times New Roman"/>
        </w:rPr>
        <w:t xml:space="preserve"> respecto a 2020</w:t>
      </w:r>
      <w:r w:rsidR="00FA6026">
        <w:rPr>
          <w:rFonts w:cs="Times New Roman"/>
        </w:rPr>
        <w:t>,</w:t>
      </w:r>
      <w:r w:rsidR="00AC4B9A">
        <w:rPr>
          <w:rFonts w:cs="Times New Roman"/>
        </w:rPr>
        <w:t xml:space="preserve"> aunque es oportuno mencionar que la </w:t>
      </w:r>
      <w:r w:rsidR="0015532C">
        <w:rPr>
          <w:rFonts w:cs="Times New Roman"/>
        </w:rPr>
        <w:t>subcategoría de enseñanza preescolar y primaria tuvo un incremento de Q230.0 millones</w:t>
      </w:r>
      <w:r w:rsidR="00101FE5">
        <w:rPr>
          <w:rFonts w:cs="Times New Roman"/>
        </w:rPr>
        <w:t>.</w:t>
      </w:r>
      <w:r w:rsidR="007E60F0">
        <w:rPr>
          <w:rFonts w:cs="Times New Roman"/>
        </w:rPr>
        <w:t xml:space="preserve"> </w:t>
      </w:r>
      <w:r w:rsidR="00E414FE">
        <w:rPr>
          <w:rFonts w:cs="Times New Roman"/>
        </w:rPr>
        <w:t>As</w:t>
      </w:r>
      <w:r w:rsidR="008A4962">
        <w:rPr>
          <w:rFonts w:cs="Times New Roman"/>
        </w:rPr>
        <w:t>i</w:t>
      </w:r>
      <w:r w:rsidR="00E414FE">
        <w:rPr>
          <w:rFonts w:cs="Times New Roman"/>
        </w:rPr>
        <w:t>mismo, cabe señalar que la</w:t>
      </w:r>
      <w:r w:rsidR="006D6D66">
        <w:rPr>
          <w:rFonts w:cs="Times New Roman"/>
        </w:rPr>
        <w:t>s</w:t>
      </w:r>
      <w:r w:rsidR="00E414FE">
        <w:rPr>
          <w:rFonts w:cs="Times New Roman"/>
        </w:rPr>
        <w:t xml:space="preserve"> erogaciones </w:t>
      </w:r>
      <w:r w:rsidR="006D6D66">
        <w:rPr>
          <w:rFonts w:cs="Times New Roman"/>
        </w:rPr>
        <w:t xml:space="preserve">por </w:t>
      </w:r>
      <w:r w:rsidR="00C00830">
        <w:rPr>
          <w:rFonts w:cs="Times New Roman"/>
        </w:rPr>
        <w:t>vivienda y servicios comunitarios ascendieron a Q1,939.3 millones con una disminución interanual de</w:t>
      </w:r>
      <w:r w:rsidR="00B2756A">
        <w:rPr>
          <w:rFonts w:cs="Times New Roman"/>
        </w:rPr>
        <w:t>l 3.7% (Q74.7 millones)</w:t>
      </w:r>
      <w:r w:rsidR="007B5907">
        <w:rPr>
          <w:rFonts w:cs="Times New Roman"/>
        </w:rPr>
        <w:t xml:space="preserve"> y las erogaciones a la protección social se observaron entorno a los Q2,</w:t>
      </w:r>
      <w:r w:rsidR="00792103">
        <w:rPr>
          <w:rFonts w:cs="Times New Roman"/>
        </w:rPr>
        <w:t>320.2 millones</w:t>
      </w:r>
      <w:r w:rsidR="008A4962">
        <w:rPr>
          <w:rFonts w:cs="Times New Roman"/>
        </w:rPr>
        <w:t>,</w:t>
      </w:r>
      <w:r w:rsidR="00792103">
        <w:rPr>
          <w:rFonts w:cs="Times New Roman"/>
        </w:rPr>
        <w:t xml:space="preserve"> con una variación interanual negativa de 2.6% (Q61.3 millones).</w:t>
      </w:r>
    </w:p>
    <w:p w14:paraId="4430DE64" w14:textId="21D08C34" w:rsidR="009A4FAE" w:rsidRPr="00AC1506" w:rsidRDefault="009A4FAE" w:rsidP="00CD34D6">
      <w:pPr>
        <w:rPr>
          <w:rFonts w:cs="Times New Roman"/>
        </w:rPr>
      </w:pPr>
    </w:p>
    <w:p w14:paraId="499034FD" w14:textId="3C75DEC3" w:rsidR="00E9536D" w:rsidRDefault="002E109C" w:rsidP="00251A72">
      <w:pPr>
        <w:jc w:val="center"/>
        <w:rPr>
          <w:rFonts w:cs="Times New Roman"/>
        </w:rPr>
      </w:pPr>
      <w:r w:rsidRPr="00AC1506">
        <w:rPr>
          <w:rFonts w:cs="Times New Roman"/>
          <w:noProof/>
          <w:lang w:eastAsia="es-GT"/>
        </w:rPr>
        <w:lastRenderedPageBreak/>
        <w:drawing>
          <wp:inline distT="0" distB="0" distL="0" distR="0" wp14:anchorId="0508EADF" wp14:editId="73D4CFB4">
            <wp:extent cx="5486400" cy="3057018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0EFAFEA" w14:textId="77777777" w:rsidR="007B36AD" w:rsidRPr="00AC1506" w:rsidRDefault="007B36AD" w:rsidP="00251A72">
      <w:pPr>
        <w:jc w:val="center"/>
        <w:rPr>
          <w:rFonts w:cs="Times New Roman"/>
        </w:rPr>
      </w:pPr>
    </w:p>
    <w:p w14:paraId="68D0D8E3" w14:textId="38E0662A" w:rsidR="00513B56" w:rsidRDefault="001979A1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507" w:name="_Toc71108074"/>
      <w:r w:rsidRPr="00AC1506">
        <w:rPr>
          <w:rFonts w:cs="Times New Roman"/>
          <w:noProof/>
          <w:sz w:val="18"/>
          <w:szCs w:val="18"/>
          <w:lang w:eastAsia="es-GT"/>
        </w:rPr>
        <w:drawing>
          <wp:anchor distT="0" distB="0" distL="114300" distR="114300" simplePos="0" relativeHeight="251660295" behindDoc="0" locked="0" layoutInCell="1" allowOverlap="1" wp14:anchorId="504800CF" wp14:editId="72DD7076">
            <wp:simplePos x="0" y="0"/>
            <wp:positionH relativeFrom="margin">
              <wp:posOffset>3016764</wp:posOffset>
            </wp:positionH>
            <wp:positionV relativeFrom="paragraph">
              <wp:posOffset>221168</wp:posOffset>
            </wp:positionV>
            <wp:extent cx="2846070" cy="4128135"/>
            <wp:effectExtent l="0" t="0" r="0" b="5715"/>
            <wp:wrapSquare wrapText="bothSides"/>
            <wp:docPr id="3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56" w:rsidRPr="00AC1506">
        <w:rPr>
          <w:rFonts w:ascii="Times New Roman" w:hAnsi="Times New Roman" w:cs="Times New Roman"/>
          <w:color w:val="auto"/>
          <w:sz w:val="24"/>
        </w:rPr>
        <w:t>Grado de Ejecución</w:t>
      </w:r>
      <w:r w:rsidR="0040274D" w:rsidRPr="00AC1506">
        <w:rPr>
          <w:rFonts w:ascii="Times New Roman" w:hAnsi="Times New Roman" w:cs="Times New Roman"/>
          <w:color w:val="auto"/>
          <w:sz w:val="24"/>
        </w:rPr>
        <w:t xml:space="preserve"> Presupuestaria</w:t>
      </w:r>
      <w:bookmarkEnd w:id="507"/>
    </w:p>
    <w:p w14:paraId="470532D7" w14:textId="02BDE09D" w:rsidR="008E5B7F" w:rsidRPr="004211BD" w:rsidRDefault="009F58CE" w:rsidP="00AA03C7">
      <w:pPr>
        <w:rPr>
          <w:rFonts w:cs="Times New Roman"/>
        </w:rPr>
      </w:pPr>
      <w:r w:rsidRPr="004211BD">
        <w:rPr>
          <w:rFonts w:cs="Times New Roman"/>
        </w:rPr>
        <w:t>A nivel de</w:t>
      </w:r>
      <w:r w:rsidR="00DB7BF9" w:rsidRPr="004211BD">
        <w:rPr>
          <w:rFonts w:cs="Times New Roman"/>
        </w:rPr>
        <w:t xml:space="preserve"> ejecución presupuestaria </w:t>
      </w:r>
      <w:r w:rsidR="00AA03C7" w:rsidRPr="004211BD">
        <w:rPr>
          <w:rFonts w:cs="Times New Roman"/>
        </w:rPr>
        <w:t xml:space="preserve">por entidades, el mayor nivel de ejecución </w:t>
      </w:r>
      <w:r w:rsidR="001979A1">
        <w:rPr>
          <w:rFonts w:cs="Times New Roman"/>
        </w:rPr>
        <w:t>proviene de</w:t>
      </w:r>
      <w:r w:rsidRPr="004211BD">
        <w:rPr>
          <w:rFonts w:cs="Times New Roman"/>
        </w:rPr>
        <w:t xml:space="preserve"> la</w:t>
      </w:r>
      <w:r w:rsidR="00AA03C7" w:rsidRPr="004211BD">
        <w:rPr>
          <w:rFonts w:cs="Times New Roman"/>
        </w:rPr>
        <w:t xml:space="preserve"> PGN (28.1%), Educación (23.7%), Gobernación (23.4%), Ambiente (21.1%), Trabajo (20.2%),</w:t>
      </w:r>
      <w:r w:rsidR="00DB7BF9" w:rsidRPr="004211BD">
        <w:rPr>
          <w:rFonts w:cs="Times New Roman"/>
        </w:rPr>
        <w:t xml:space="preserve"> </w:t>
      </w:r>
      <w:r w:rsidR="00AA03C7" w:rsidRPr="004211BD">
        <w:rPr>
          <w:rFonts w:cs="Times New Roman"/>
        </w:rPr>
        <w:t>Defensa (19.0%), Energía (18.4%), Relaciones Exteriores (18.4%), Servicio de la Deuda Pública (18.2%), Finanzas Públicas (17.8%), Presidencia (17.8%) y Salud Pública (17.0%) todas estas entidades se encuentran por arriba de la ejecución institucional total</w:t>
      </w:r>
      <w:r w:rsidR="006D19FD">
        <w:rPr>
          <w:rFonts w:cs="Times New Roman"/>
        </w:rPr>
        <w:t>.</w:t>
      </w:r>
    </w:p>
    <w:p w14:paraId="33FE55E4" w14:textId="3F31DF4C" w:rsidR="004211BD" w:rsidRPr="004211BD" w:rsidRDefault="004211BD" w:rsidP="00AA03C7">
      <w:pPr>
        <w:rPr>
          <w:rFonts w:cs="Times New Roman"/>
        </w:rPr>
      </w:pPr>
    </w:p>
    <w:p w14:paraId="77504DC8" w14:textId="38F562CA" w:rsidR="004211BD" w:rsidRDefault="004211BD" w:rsidP="00AA03C7">
      <w:pPr>
        <w:rPr>
          <w:rFonts w:cs="Times New Roman"/>
        </w:rPr>
      </w:pPr>
      <w:r w:rsidRPr="004211BD">
        <w:rPr>
          <w:rFonts w:cs="Times New Roman"/>
        </w:rPr>
        <w:t>Por su parte, el resto de las entidades se encuentran por debajo de la ejecución total, resalta el caso de dos entidades, siendo Economía (1.9%) y Desarrollo Social (1.3%). En ambas entidades, la baja ejecución se debe a un presupuesto que responde a los programas asociados a la atención de la crisis ocasionada por el COVID-19 y por ello el presupuesto vigente supera ampliamente al presupuesto histórico de dichas entidades. Únicamente en Desarrollo Social se reporta un recorte en su presupuesto, siendo por el equivalente a Q1,530.0 millones, el cual es reorientado hacia el Ministerio de Salud Pública y Asistencia Social, destinado a la adquisición de la vacuna contra el COVID-19 y gastos relacionados.</w:t>
      </w:r>
    </w:p>
    <w:p w14:paraId="38DBAD16" w14:textId="5E8BE654" w:rsidR="00DA633D" w:rsidRDefault="00DA633D" w:rsidP="00AA03C7">
      <w:pPr>
        <w:rPr>
          <w:rFonts w:cs="Times New Roman"/>
        </w:rPr>
      </w:pPr>
    </w:p>
    <w:p w14:paraId="5846E23F" w14:textId="77777777" w:rsidR="003465C8" w:rsidRDefault="003465C8" w:rsidP="003465C8">
      <w:pPr>
        <w:rPr>
          <w:rFonts w:cs="Times New Roman"/>
        </w:rPr>
      </w:pPr>
    </w:p>
    <w:p w14:paraId="2F7FD628" w14:textId="232A73DE" w:rsidR="00DA633D" w:rsidRPr="00DA633D" w:rsidRDefault="00DA633D" w:rsidP="003465C8">
      <w:pPr>
        <w:rPr>
          <w:rFonts w:cs="Times New Roman"/>
        </w:rPr>
      </w:pPr>
      <w:r w:rsidRPr="00DA633D">
        <w:rPr>
          <w:rFonts w:cs="Times New Roman"/>
        </w:rPr>
        <w:lastRenderedPageBreak/>
        <w:t>En el caso del Ministerio de Comunicaciones, Infraestructura y Vivienda, aunque la ejecución puede percibirse baja al ser de 11.8%, es la entidad que reporta el mayor crecimiento interanual, siendo equivalente a 47.5% (Q257.3 millones) dado una mejora que es visible en el rubro de la inversión real directa. Al respecto, en el año 2020 debido a las restricciones de movilidad por la pandemia COVID-19, muchos</w:t>
      </w:r>
      <w:r w:rsidR="006F6039">
        <w:rPr>
          <w:rFonts w:cs="Times New Roman"/>
        </w:rPr>
        <w:t xml:space="preserve"> </w:t>
      </w:r>
      <w:r w:rsidRPr="00DA633D">
        <w:rPr>
          <w:rFonts w:cs="Times New Roman"/>
        </w:rPr>
        <w:t>proyectos bajo la responsabilidad del CIV tuvieron bajos niveles de ejecución y en el peor</w:t>
      </w:r>
    </w:p>
    <w:p w14:paraId="1B7D103A" w14:textId="1A5EE07E" w:rsidR="001B6D43" w:rsidRPr="007B36AD" w:rsidRDefault="00DA633D" w:rsidP="003465C8">
      <w:pPr>
        <w:rPr>
          <w:rFonts w:cs="Times New Roman"/>
        </w:rPr>
      </w:pPr>
      <w:r w:rsidRPr="00DA633D">
        <w:rPr>
          <w:rFonts w:cs="Times New Roman"/>
        </w:rPr>
        <w:t>de los casos, no pudieron desarrollarse.</w:t>
      </w:r>
    </w:p>
    <w:p w14:paraId="54DA5646" w14:textId="77777777" w:rsidR="002F2FB3" w:rsidRDefault="002F2FB3" w:rsidP="00851B66">
      <w:pPr>
        <w:ind w:left="4962"/>
        <w:jc w:val="right"/>
        <w:rPr>
          <w:rFonts w:cs="Times New Roman"/>
          <w:sz w:val="16"/>
          <w:szCs w:val="22"/>
          <w:lang w:val="es-MX"/>
        </w:rPr>
      </w:pPr>
    </w:p>
    <w:p w14:paraId="2A08C5D7" w14:textId="786C128C" w:rsidR="00380981" w:rsidRPr="00AC1506" w:rsidRDefault="00C84436" w:rsidP="00C17472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508" w:name="_Toc71108075"/>
      <w:r w:rsidRPr="00AC1506">
        <w:rPr>
          <w:rFonts w:cs="Times New Roman"/>
          <w:b/>
          <w:sz w:val="24"/>
          <w:lang w:val="es-MX"/>
        </w:rPr>
        <w:t>Resultado Fiscal</w:t>
      </w:r>
      <w:bookmarkEnd w:id="508"/>
      <w:r w:rsidRPr="00AC1506">
        <w:rPr>
          <w:rFonts w:cs="Times New Roman"/>
          <w:b/>
          <w:sz w:val="24"/>
          <w:lang w:val="es-MX"/>
        </w:rPr>
        <w:t xml:space="preserve"> </w:t>
      </w:r>
    </w:p>
    <w:p w14:paraId="5979CB22" w14:textId="577F46B8" w:rsidR="00C84436" w:rsidRPr="00AC1506" w:rsidRDefault="005F5E9E" w:rsidP="00D319A6">
      <w:pPr>
        <w:rPr>
          <w:rFonts w:eastAsiaTheme="majorEastAsia" w:cs="Times New Roman"/>
          <w:b/>
          <w:bCs/>
          <w:sz w:val="24"/>
          <w:szCs w:val="26"/>
        </w:rPr>
      </w:pPr>
      <w:bookmarkStart w:id="509" w:name="_Toc42023982"/>
      <w:bookmarkStart w:id="510" w:name="_Toc42024033"/>
      <w:bookmarkEnd w:id="509"/>
      <w:bookmarkEnd w:id="510"/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53C2D341" wp14:editId="4CCD8E17">
            <wp:extent cx="5836920" cy="1854200"/>
            <wp:effectExtent l="76200" t="57150" r="87630" b="107950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bookmarkStart w:id="511" w:name="_Toc31624513"/>
      <w:bookmarkStart w:id="512" w:name="_Toc31625365"/>
      <w:bookmarkStart w:id="513" w:name="_Toc31626820"/>
      <w:bookmarkStart w:id="514" w:name="_Toc31811271"/>
      <w:bookmarkStart w:id="515" w:name="_Toc31811725"/>
      <w:bookmarkStart w:id="516" w:name="_Toc31971888"/>
      <w:bookmarkStart w:id="517" w:name="_Toc32230910"/>
      <w:bookmarkStart w:id="518" w:name="_Toc33109798"/>
      <w:bookmarkStart w:id="519" w:name="_Toc33109840"/>
      <w:bookmarkStart w:id="520" w:name="_Toc33180561"/>
      <w:bookmarkStart w:id="521" w:name="_Toc33180655"/>
      <w:bookmarkStart w:id="522" w:name="_Toc33193552"/>
      <w:bookmarkStart w:id="523" w:name="_Toc33193591"/>
      <w:bookmarkStart w:id="524" w:name="_Toc33196788"/>
      <w:bookmarkStart w:id="525" w:name="_Toc40691764"/>
      <w:bookmarkStart w:id="526" w:name="_Toc40959164"/>
      <w:bookmarkStart w:id="527" w:name="_Toc40975998"/>
      <w:bookmarkStart w:id="528" w:name="_Toc40976067"/>
      <w:bookmarkStart w:id="529" w:name="_Toc40993323"/>
      <w:bookmarkStart w:id="530" w:name="_Toc40993705"/>
      <w:bookmarkStart w:id="531" w:name="_Toc41037581"/>
      <w:bookmarkStart w:id="532" w:name="_Toc41254141"/>
      <w:bookmarkStart w:id="533" w:name="_Toc41254173"/>
      <w:bookmarkStart w:id="534" w:name="_Toc41254193"/>
      <w:bookmarkStart w:id="535" w:name="_Toc42023983"/>
      <w:bookmarkStart w:id="536" w:name="_Toc42024034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</w:p>
    <w:p w14:paraId="601FB390" w14:textId="77777777" w:rsidR="00182B79" w:rsidRPr="00AC1506" w:rsidRDefault="00182B79" w:rsidP="00182B79">
      <w:pPr>
        <w:pStyle w:val="Prrafodelista"/>
        <w:keepNext/>
        <w:keepLines/>
        <w:numPr>
          <w:ilvl w:val="0"/>
          <w:numId w:val="43"/>
        </w:numPr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37" w:name="_Toc42069123"/>
      <w:bookmarkStart w:id="538" w:name="_Toc49422069"/>
      <w:bookmarkStart w:id="539" w:name="_Toc49422095"/>
      <w:bookmarkStart w:id="540" w:name="_Toc49430674"/>
      <w:bookmarkStart w:id="541" w:name="_Toc49430700"/>
      <w:bookmarkStart w:id="542" w:name="_Toc49750477"/>
      <w:bookmarkStart w:id="543" w:name="_Toc49750727"/>
      <w:bookmarkStart w:id="544" w:name="_Toc49750755"/>
      <w:bookmarkStart w:id="545" w:name="_Toc55284841"/>
      <w:bookmarkStart w:id="546" w:name="_Toc55298859"/>
      <w:bookmarkStart w:id="547" w:name="_Toc55373842"/>
      <w:bookmarkStart w:id="548" w:name="_Toc55374018"/>
      <w:bookmarkStart w:id="549" w:name="_Toc55375155"/>
      <w:bookmarkStart w:id="550" w:name="_Toc55396563"/>
      <w:bookmarkStart w:id="551" w:name="_Toc65230560"/>
      <w:bookmarkStart w:id="552" w:name="_Toc65230798"/>
      <w:bookmarkStart w:id="553" w:name="_Toc65232082"/>
      <w:bookmarkStart w:id="554" w:name="_Toc65232327"/>
      <w:bookmarkStart w:id="555" w:name="_Toc66716186"/>
      <w:bookmarkStart w:id="556" w:name="_Toc71097230"/>
      <w:bookmarkStart w:id="557" w:name="_Toc71097261"/>
      <w:bookmarkStart w:id="558" w:name="_Toc71097336"/>
      <w:bookmarkStart w:id="559" w:name="_Toc7110807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</w:p>
    <w:p w14:paraId="3072C340" w14:textId="79DC1728" w:rsidR="00364844" w:rsidRPr="00AC1506" w:rsidRDefault="00BD6585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560" w:name="_Toc71108077"/>
      <w:r w:rsidRPr="00AC1506">
        <w:rPr>
          <w:rFonts w:ascii="Times New Roman" w:hAnsi="Times New Roman" w:cs="Times New Roman"/>
          <w:color w:val="auto"/>
          <w:sz w:val="24"/>
        </w:rPr>
        <w:t>R</w:t>
      </w:r>
      <w:r w:rsidR="00540B30" w:rsidRPr="00AC1506">
        <w:rPr>
          <w:rFonts w:ascii="Times New Roman" w:hAnsi="Times New Roman" w:cs="Times New Roman"/>
          <w:color w:val="auto"/>
          <w:sz w:val="24"/>
        </w:rPr>
        <w:t xml:space="preserve">esultado </w:t>
      </w:r>
      <w:r w:rsidR="003C3E6F" w:rsidRPr="00AC1506">
        <w:rPr>
          <w:rFonts w:ascii="Times New Roman" w:hAnsi="Times New Roman" w:cs="Times New Roman"/>
          <w:color w:val="auto"/>
          <w:sz w:val="24"/>
        </w:rPr>
        <w:t>O</w:t>
      </w:r>
      <w:r w:rsidR="00540B30" w:rsidRPr="00AC1506">
        <w:rPr>
          <w:rFonts w:ascii="Times New Roman" w:hAnsi="Times New Roman" w:cs="Times New Roman"/>
          <w:color w:val="auto"/>
          <w:sz w:val="24"/>
        </w:rPr>
        <w:t>perativo</w:t>
      </w:r>
      <w:r w:rsidR="00EE52DF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bookmarkEnd w:id="349"/>
      <w:r w:rsidR="005454E8">
        <w:rPr>
          <w:rFonts w:ascii="Times New Roman" w:hAnsi="Times New Roman" w:cs="Times New Roman"/>
          <w:color w:val="auto"/>
          <w:sz w:val="24"/>
        </w:rPr>
        <w:t>Negativo</w:t>
      </w:r>
      <w:bookmarkEnd w:id="560"/>
    </w:p>
    <w:p w14:paraId="084ECDEC" w14:textId="303FE4FE" w:rsidR="00A346C2" w:rsidRDefault="00923488" w:rsidP="0045490A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 mes de </w:t>
      </w:r>
      <w:r w:rsidR="00230F64">
        <w:rPr>
          <w:rFonts w:ascii="Times New Roman" w:hAnsi="Times New Roman" w:cs="Times New Roman"/>
        </w:rPr>
        <w:t>marzo</w:t>
      </w:r>
      <w:r>
        <w:rPr>
          <w:rFonts w:ascii="Times New Roman" w:hAnsi="Times New Roman" w:cs="Times New Roman"/>
        </w:rPr>
        <w:t xml:space="preserve"> se </w:t>
      </w:r>
      <w:r w:rsidR="007840C8">
        <w:rPr>
          <w:rFonts w:ascii="Times New Roman" w:hAnsi="Times New Roman" w:cs="Times New Roman"/>
        </w:rPr>
        <w:t>observa un</w:t>
      </w:r>
      <w:r w:rsidR="00E67AA2">
        <w:rPr>
          <w:rFonts w:ascii="Times New Roman" w:hAnsi="Times New Roman" w:cs="Times New Roman"/>
        </w:rPr>
        <w:t xml:space="preserve"> r</w:t>
      </w:r>
      <w:r w:rsidR="007840C8">
        <w:rPr>
          <w:rFonts w:ascii="Times New Roman" w:hAnsi="Times New Roman" w:cs="Times New Roman"/>
        </w:rPr>
        <w:t xml:space="preserve">esultado </w:t>
      </w:r>
      <w:r w:rsidR="00E67AA2">
        <w:rPr>
          <w:rFonts w:ascii="Times New Roman" w:hAnsi="Times New Roman" w:cs="Times New Roman"/>
        </w:rPr>
        <w:t>o</w:t>
      </w:r>
      <w:r w:rsidR="007840C8">
        <w:rPr>
          <w:rFonts w:ascii="Times New Roman" w:hAnsi="Times New Roman" w:cs="Times New Roman"/>
        </w:rPr>
        <w:t xml:space="preserve">perativo </w:t>
      </w:r>
      <w:r w:rsidR="0079537D">
        <w:rPr>
          <w:rFonts w:ascii="Times New Roman" w:hAnsi="Times New Roman" w:cs="Times New Roman"/>
        </w:rPr>
        <w:t>positivo</w:t>
      </w:r>
      <w:r w:rsidR="00053AD6" w:rsidRPr="00AC1506">
        <w:rPr>
          <w:rFonts w:ascii="Times New Roman" w:hAnsi="Times New Roman" w:cs="Times New Roman"/>
        </w:rPr>
        <w:t xml:space="preserve"> </w:t>
      </w:r>
      <w:r w:rsidR="00A87FAA">
        <w:rPr>
          <w:rFonts w:ascii="Times New Roman" w:hAnsi="Times New Roman" w:cs="Times New Roman"/>
        </w:rPr>
        <w:t xml:space="preserve">por </w:t>
      </w:r>
      <w:r w:rsidR="007D07F3" w:rsidRPr="00AC1506">
        <w:rPr>
          <w:rFonts w:ascii="Times New Roman" w:hAnsi="Times New Roman" w:cs="Times New Roman"/>
        </w:rPr>
        <w:t>Q</w:t>
      </w:r>
      <w:r w:rsidR="00B75DDB">
        <w:rPr>
          <w:rFonts w:ascii="Times New Roman" w:hAnsi="Times New Roman" w:cs="Times New Roman"/>
        </w:rPr>
        <w:t>2</w:t>
      </w:r>
      <w:r w:rsidR="0079537D">
        <w:rPr>
          <w:rFonts w:ascii="Times New Roman" w:hAnsi="Times New Roman" w:cs="Times New Roman"/>
        </w:rPr>
        <w:t>,030</w:t>
      </w:r>
      <w:r w:rsidR="00867E22">
        <w:rPr>
          <w:rFonts w:ascii="Times New Roman" w:hAnsi="Times New Roman" w:cs="Times New Roman"/>
        </w:rPr>
        <w:t>.</w:t>
      </w:r>
      <w:r w:rsidR="00116127">
        <w:rPr>
          <w:rFonts w:ascii="Times New Roman" w:hAnsi="Times New Roman" w:cs="Times New Roman"/>
        </w:rPr>
        <w:t>4</w:t>
      </w:r>
      <w:r w:rsidR="00867E22">
        <w:rPr>
          <w:rFonts w:ascii="Times New Roman" w:hAnsi="Times New Roman" w:cs="Times New Roman"/>
        </w:rPr>
        <w:t xml:space="preserve"> millones</w:t>
      </w:r>
      <w:r w:rsidR="00F76669">
        <w:rPr>
          <w:rFonts w:ascii="Times New Roman" w:hAnsi="Times New Roman" w:cs="Times New Roman"/>
        </w:rPr>
        <w:t xml:space="preserve">, el cual es </w:t>
      </w:r>
      <w:r w:rsidR="00182E81">
        <w:rPr>
          <w:rFonts w:ascii="Times New Roman" w:hAnsi="Times New Roman" w:cs="Times New Roman"/>
        </w:rPr>
        <w:t xml:space="preserve">producto </w:t>
      </w:r>
      <w:r w:rsidR="001A4726">
        <w:rPr>
          <w:rFonts w:ascii="Times New Roman" w:hAnsi="Times New Roman" w:cs="Times New Roman"/>
        </w:rPr>
        <w:t>de</w:t>
      </w:r>
      <w:r w:rsidR="00B75DDB">
        <w:rPr>
          <w:rFonts w:ascii="Times New Roman" w:hAnsi="Times New Roman" w:cs="Times New Roman"/>
        </w:rPr>
        <w:t xml:space="preserve"> </w:t>
      </w:r>
      <w:r w:rsidR="00F62BA2">
        <w:rPr>
          <w:rFonts w:ascii="Times New Roman" w:hAnsi="Times New Roman" w:cs="Times New Roman"/>
        </w:rPr>
        <w:t xml:space="preserve">la mejora </w:t>
      </w:r>
      <w:r w:rsidR="00116127">
        <w:rPr>
          <w:rFonts w:ascii="Times New Roman" w:hAnsi="Times New Roman" w:cs="Times New Roman"/>
        </w:rPr>
        <w:t>en los ingresos</w:t>
      </w:r>
      <w:r w:rsidR="00B75DDB">
        <w:rPr>
          <w:rFonts w:ascii="Times New Roman" w:hAnsi="Times New Roman" w:cs="Times New Roman"/>
        </w:rPr>
        <w:t xml:space="preserve"> total</w:t>
      </w:r>
      <w:r w:rsidR="00116127">
        <w:rPr>
          <w:rFonts w:ascii="Times New Roman" w:hAnsi="Times New Roman" w:cs="Times New Roman"/>
        </w:rPr>
        <w:t>es</w:t>
      </w:r>
      <w:r w:rsidR="00B75DDB">
        <w:rPr>
          <w:rFonts w:ascii="Times New Roman" w:hAnsi="Times New Roman" w:cs="Times New Roman"/>
        </w:rPr>
        <w:t xml:space="preserve">, principalmente por parte de los impuestos, así como </w:t>
      </w:r>
      <w:r w:rsidR="001A7B66">
        <w:rPr>
          <w:rFonts w:ascii="Times New Roman" w:hAnsi="Times New Roman" w:cs="Times New Roman"/>
        </w:rPr>
        <w:t>d</w:t>
      </w:r>
      <w:r w:rsidR="00235297">
        <w:rPr>
          <w:rFonts w:ascii="Times New Roman" w:hAnsi="Times New Roman" w:cs="Times New Roman"/>
        </w:rPr>
        <w:t>el bajo dinamismo del</w:t>
      </w:r>
      <w:r w:rsidR="00B75DDB">
        <w:rPr>
          <w:rFonts w:ascii="Times New Roman" w:hAnsi="Times New Roman" w:cs="Times New Roman"/>
        </w:rPr>
        <w:t xml:space="preserve"> gasto público. </w:t>
      </w:r>
      <w:r w:rsidR="001A7B66">
        <w:rPr>
          <w:rFonts w:ascii="Times New Roman" w:hAnsi="Times New Roman" w:cs="Times New Roman"/>
        </w:rPr>
        <w:t>E</w:t>
      </w:r>
      <w:r w:rsidR="00DE56A9">
        <w:rPr>
          <w:rFonts w:ascii="Times New Roman" w:hAnsi="Times New Roman" w:cs="Times New Roman"/>
        </w:rPr>
        <w:t xml:space="preserve">n términos interanuales, el resultado </w:t>
      </w:r>
      <w:r w:rsidR="00F02359">
        <w:rPr>
          <w:rFonts w:ascii="Times New Roman" w:hAnsi="Times New Roman" w:cs="Times New Roman"/>
        </w:rPr>
        <w:t>operativo 2020</w:t>
      </w:r>
      <w:r w:rsidR="001A7B66">
        <w:rPr>
          <w:rFonts w:ascii="Times New Roman" w:hAnsi="Times New Roman" w:cs="Times New Roman"/>
        </w:rPr>
        <w:t xml:space="preserve"> durante el primer trimestre había sido negativo</w:t>
      </w:r>
      <w:r w:rsidR="00512366">
        <w:rPr>
          <w:rFonts w:ascii="Times New Roman" w:hAnsi="Times New Roman" w:cs="Times New Roman"/>
        </w:rPr>
        <w:t xml:space="preserve"> </w:t>
      </w:r>
      <w:r w:rsidR="004B539E">
        <w:rPr>
          <w:rFonts w:ascii="Times New Roman" w:hAnsi="Times New Roman" w:cs="Times New Roman"/>
        </w:rPr>
        <w:t xml:space="preserve">en </w:t>
      </w:r>
      <w:r w:rsidR="00CD37A6">
        <w:rPr>
          <w:rFonts w:ascii="Times New Roman" w:hAnsi="Times New Roman" w:cs="Times New Roman"/>
        </w:rPr>
        <w:t>Q</w:t>
      </w:r>
      <w:r w:rsidR="004B539E">
        <w:rPr>
          <w:rFonts w:ascii="Times New Roman" w:hAnsi="Times New Roman" w:cs="Times New Roman"/>
        </w:rPr>
        <w:t>1</w:t>
      </w:r>
      <w:r w:rsidR="00CD37A6">
        <w:rPr>
          <w:rFonts w:ascii="Times New Roman" w:hAnsi="Times New Roman" w:cs="Times New Roman"/>
        </w:rPr>
        <w:t>,</w:t>
      </w:r>
      <w:r w:rsidR="004B539E">
        <w:rPr>
          <w:rFonts w:ascii="Times New Roman" w:hAnsi="Times New Roman" w:cs="Times New Roman"/>
        </w:rPr>
        <w:t>176</w:t>
      </w:r>
      <w:r w:rsidR="00CD37A6">
        <w:rPr>
          <w:rFonts w:ascii="Times New Roman" w:hAnsi="Times New Roman" w:cs="Times New Roman"/>
        </w:rPr>
        <w:t>.</w:t>
      </w:r>
      <w:r w:rsidR="004B539E">
        <w:rPr>
          <w:rFonts w:ascii="Times New Roman" w:hAnsi="Times New Roman" w:cs="Times New Roman"/>
        </w:rPr>
        <w:t>5</w:t>
      </w:r>
      <w:r w:rsidR="00CD37A6">
        <w:rPr>
          <w:rFonts w:ascii="Times New Roman" w:hAnsi="Times New Roman" w:cs="Times New Roman"/>
        </w:rPr>
        <w:t xml:space="preserve"> millones</w:t>
      </w:r>
      <w:r w:rsidR="002E652B">
        <w:rPr>
          <w:rFonts w:ascii="Times New Roman" w:hAnsi="Times New Roman" w:cs="Times New Roman"/>
        </w:rPr>
        <w:t>,</w:t>
      </w:r>
      <w:r w:rsidR="003754BA">
        <w:rPr>
          <w:rFonts w:ascii="Times New Roman" w:hAnsi="Times New Roman" w:cs="Times New Roman"/>
        </w:rPr>
        <w:t xml:space="preserve"> </w:t>
      </w:r>
      <w:r w:rsidR="00BE5FA5">
        <w:rPr>
          <w:rFonts w:ascii="Times New Roman" w:hAnsi="Times New Roman" w:cs="Times New Roman"/>
        </w:rPr>
        <w:t>el</w:t>
      </w:r>
      <w:r w:rsidR="003754BA">
        <w:rPr>
          <w:rFonts w:ascii="Times New Roman" w:hAnsi="Times New Roman" w:cs="Times New Roman"/>
        </w:rPr>
        <w:t xml:space="preserve"> cual había sido </w:t>
      </w:r>
      <w:r w:rsidR="00F70921">
        <w:rPr>
          <w:rFonts w:ascii="Times New Roman" w:hAnsi="Times New Roman" w:cs="Times New Roman"/>
        </w:rPr>
        <w:t>afectad</w:t>
      </w:r>
      <w:r w:rsidR="00FE5F9F">
        <w:rPr>
          <w:rFonts w:ascii="Times New Roman" w:hAnsi="Times New Roman" w:cs="Times New Roman"/>
        </w:rPr>
        <w:t>o</w:t>
      </w:r>
      <w:r w:rsidR="00F70921">
        <w:rPr>
          <w:rFonts w:ascii="Times New Roman" w:hAnsi="Times New Roman" w:cs="Times New Roman"/>
        </w:rPr>
        <w:t xml:space="preserve"> por </w:t>
      </w:r>
      <w:r w:rsidR="00DC6CFF">
        <w:rPr>
          <w:rFonts w:ascii="Times New Roman" w:hAnsi="Times New Roman" w:cs="Times New Roman"/>
        </w:rPr>
        <w:t xml:space="preserve">la </w:t>
      </w:r>
      <w:r w:rsidR="008863D0">
        <w:rPr>
          <w:rFonts w:ascii="Times New Roman" w:hAnsi="Times New Roman" w:cs="Times New Roman"/>
        </w:rPr>
        <w:t xml:space="preserve">coyuntura </w:t>
      </w:r>
      <w:r w:rsidR="00F70921">
        <w:rPr>
          <w:rFonts w:ascii="Times New Roman" w:hAnsi="Times New Roman" w:cs="Times New Roman"/>
        </w:rPr>
        <w:t>de la Pandemia Covid-19</w:t>
      </w:r>
      <w:r w:rsidR="00A23D88">
        <w:rPr>
          <w:rFonts w:ascii="Times New Roman" w:hAnsi="Times New Roman" w:cs="Times New Roman"/>
        </w:rPr>
        <w:t xml:space="preserve">. </w:t>
      </w:r>
    </w:p>
    <w:p w14:paraId="45ECB868" w14:textId="4DF00689" w:rsidR="00A346C2" w:rsidRDefault="00A346C2" w:rsidP="0045490A">
      <w:pPr>
        <w:pStyle w:val="Sinespaciado"/>
        <w:jc w:val="both"/>
        <w:rPr>
          <w:rFonts w:ascii="Times New Roman" w:hAnsi="Times New Roman" w:cs="Times New Roman"/>
        </w:rPr>
      </w:pPr>
    </w:p>
    <w:p w14:paraId="4FB717FF" w14:textId="3411865E" w:rsidR="004B5293" w:rsidRPr="00AC1506" w:rsidRDefault="007F30B6" w:rsidP="0045490A">
      <w:pPr>
        <w:pStyle w:val="Sinespaciado"/>
        <w:jc w:val="both"/>
        <w:rPr>
          <w:rFonts w:ascii="Times New Roman" w:hAnsi="Times New Roman" w:cs="Times New Roman"/>
        </w:rPr>
      </w:pPr>
      <w:r w:rsidRPr="00AC1506">
        <w:rPr>
          <w:rFonts w:ascii="Times New Roman" w:hAnsi="Times New Roman" w:cs="Times New Roman"/>
        </w:rPr>
        <w:t>Por su parte, el resultado operativo primario</w:t>
      </w:r>
      <w:r w:rsidR="00C76397" w:rsidRPr="00AC1506">
        <w:rPr>
          <w:rFonts w:ascii="Times New Roman" w:hAnsi="Times New Roman" w:cs="Times New Roman"/>
        </w:rPr>
        <w:t xml:space="preserve"> (</w:t>
      </w:r>
      <w:r w:rsidR="00343934" w:rsidRPr="00AC1506">
        <w:rPr>
          <w:rFonts w:ascii="Times New Roman" w:hAnsi="Times New Roman" w:cs="Times New Roman"/>
        </w:rPr>
        <w:t>sin considerar el pago de intereses de la deuda pública</w:t>
      </w:r>
      <w:r w:rsidR="00385368" w:rsidRPr="00AC1506">
        <w:rPr>
          <w:rFonts w:ascii="Times New Roman" w:hAnsi="Times New Roman" w:cs="Times New Roman"/>
        </w:rPr>
        <w:t>)</w:t>
      </w:r>
      <w:r w:rsidRPr="00AC1506">
        <w:rPr>
          <w:rFonts w:ascii="Times New Roman" w:hAnsi="Times New Roman" w:cs="Times New Roman"/>
        </w:rPr>
        <w:t xml:space="preserve"> </w:t>
      </w:r>
      <w:r w:rsidR="00C76397" w:rsidRPr="00AC1506">
        <w:rPr>
          <w:rFonts w:ascii="Times New Roman" w:hAnsi="Times New Roman" w:cs="Times New Roman"/>
        </w:rPr>
        <w:t xml:space="preserve">fue </w:t>
      </w:r>
      <w:r w:rsidR="004777C0">
        <w:rPr>
          <w:rFonts w:ascii="Times New Roman" w:hAnsi="Times New Roman" w:cs="Times New Roman"/>
        </w:rPr>
        <w:t>positivo</w:t>
      </w:r>
      <w:r w:rsidR="00C76397" w:rsidRPr="00AC1506">
        <w:rPr>
          <w:rFonts w:ascii="Times New Roman" w:hAnsi="Times New Roman" w:cs="Times New Roman"/>
        </w:rPr>
        <w:t xml:space="preserve"> por Q</w:t>
      </w:r>
      <w:r w:rsidR="004777C0">
        <w:rPr>
          <w:rFonts w:ascii="Times New Roman" w:hAnsi="Times New Roman" w:cs="Times New Roman"/>
        </w:rPr>
        <w:t>3</w:t>
      </w:r>
      <w:r w:rsidR="00C76397" w:rsidRPr="00AC1506">
        <w:rPr>
          <w:rFonts w:ascii="Times New Roman" w:hAnsi="Times New Roman" w:cs="Times New Roman"/>
        </w:rPr>
        <w:t>,</w:t>
      </w:r>
      <w:r w:rsidR="004777C0">
        <w:rPr>
          <w:rFonts w:ascii="Times New Roman" w:hAnsi="Times New Roman" w:cs="Times New Roman"/>
        </w:rPr>
        <w:t>851.1</w:t>
      </w:r>
      <w:r w:rsidR="00C76397" w:rsidRPr="00AC1506">
        <w:rPr>
          <w:rFonts w:ascii="Times New Roman" w:hAnsi="Times New Roman" w:cs="Times New Roman"/>
        </w:rPr>
        <w:t xml:space="preserve"> millones</w:t>
      </w:r>
      <w:r w:rsidR="000F41CA" w:rsidRPr="00AC1506">
        <w:rPr>
          <w:rFonts w:ascii="Times New Roman" w:hAnsi="Times New Roman" w:cs="Times New Roman"/>
        </w:rPr>
        <w:t xml:space="preserve">, mientras </w:t>
      </w:r>
      <w:r w:rsidR="00CC6EE7">
        <w:rPr>
          <w:rFonts w:ascii="Times New Roman" w:hAnsi="Times New Roman" w:cs="Times New Roman"/>
        </w:rPr>
        <w:t xml:space="preserve">que, </w:t>
      </w:r>
      <w:r w:rsidR="00DC6CFF">
        <w:rPr>
          <w:rFonts w:ascii="Times New Roman" w:hAnsi="Times New Roman" w:cs="Times New Roman"/>
        </w:rPr>
        <w:t>en el año previo</w:t>
      </w:r>
      <w:r w:rsidR="00250FD6">
        <w:rPr>
          <w:rFonts w:ascii="Times New Roman" w:hAnsi="Times New Roman" w:cs="Times New Roman"/>
        </w:rPr>
        <w:t>,</w:t>
      </w:r>
      <w:r w:rsidR="00DC6CFF">
        <w:rPr>
          <w:rFonts w:ascii="Times New Roman" w:hAnsi="Times New Roman" w:cs="Times New Roman"/>
        </w:rPr>
        <w:t xml:space="preserve"> este había sido </w:t>
      </w:r>
      <w:r w:rsidR="002B6CF8">
        <w:rPr>
          <w:rFonts w:ascii="Times New Roman" w:hAnsi="Times New Roman" w:cs="Times New Roman"/>
        </w:rPr>
        <w:t>positivo</w:t>
      </w:r>
      <w:r w:rsidR="00062CBA" w:rsidRPr="00AC1506">
        <w:rPr>
          <w:rFonts w:ascii="Times New Roman" w:hAnsi="Times New Roman" w:cs="Times New Roman"/>
        </w:rPr>
        <w:t xml:space="preserve"> en </w:t>
      </w:r>
      <w:r w:rsidR="00DA7F3A" w:rsidRPr="00AC1506">
        <w:rPr>
          <w:rFonts w:ascii="Times New Roman" w:hAnsi="Times New Roman" w:cs="Times New Roman"/>
        </w:rPr>
        <w:t>Q</w:t>
      </w:r>
      <w:r w:rsidR="00250FD6">
        <w:rPr>
          <w:rFonts w:ascii="Times New Roman" w:hAnsi="Times New Roman" w:cs="Times New Roman"/>
        </w:rPr>
        <w:t>620.5</w:t>
      </w:r>
      <w:r w:rsidR="004D3EA8" w:rsidRPr="00AC1506">
        <w:rPr>
          <w:rFonts w:ascii="Times New Roman" w:hAnsi="Times New Roman" w:cs="Times New Roman"/>
        </w:rPr>
        <w:t xml:space="preserve"> </w:t>
      </w:r>
      <w:r w:rsidR="00CC6EE7">
        <w:rPr>
          <w:rFonts w:ascii="Times New Roman" w:hAnsi="Times New Roman" w:cs="Times New Roman"/>
        </w:rPr>
        <w:t>m</w:t>
      </w:r>
      <w:r w:rsidR="004D3EA8" w:rsidRPr="00AC1506">
        <w:rPr>
          <w:rFonts w:ascii="Times New Roman" w:hAnsi="Times New Roman" w:cs="Times New Roman"/>
        </w:rPr>
        <w:t>illones.</w:t>
      </w:r>
    </w:p>
    <w:p w14:paraId="5A96EBFC" w14:textId="35939DC9" w:rsidR="004B5293" w:rsidRPr="00AC1506" w:rsidRDefault="004B5293" w:rsidP="00EE52DF">
      <w:pPr>
        <w:pStyle w:val="Sinespaciado"/>
        <w:jc w:val="both"/>
        <w:rPr>
          <w:rFonts w:ascii="Times New Roman" w:hAnsi="Times New Roman" w:cs="Times New Roman"/>
        </w:rPr>
      </w:pPr>
    </w:p>
    <w:p w14:paraId="05EB2ED1" w14:textId="5D8E52B7" w:rsidR="00374C59" w:rsidRPr="00AC1506" w:rsidRDefault="00414C97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561" w:name="_Toc71108078"/>
      <w:r w:rsidRPr="00AC1506">
        <w:rPr>
          <w:rFonts w:ascii="Times New Roman" w:hAnsi="Times New Roman" w:cs="Times New Roman"/>
          <w:color w:val="auto"/>
          <w:sz w:val="24"/>
        </w:rPr>
        <w:t xml:space="preserve">Préstamo o Endeudamiento </w:t>
      </w:r>
      <w:r w:rsidR="00710C6F" w:rsidRPr="00AC1506">
        <w:rPr>
          <w:rFonts w:ascii="Times New Roman" w:hAnsi="Times New Roman" w:cs="Times New Roman"/>
          <w:color w:val="auto"/>
          <w:sz w:val="24"/>
        </w:rPr>
        <w:t>(</w:t>
      </w:r>
      <w:r w:rsidRPr="00AC1506">
        <w:rPr>
          <w:rFonts w:ascii="Times New Roman" w:hAnsi="Times New Roman" w:cs="Times New Roman"/>
          <w:color w:val="auto"/>
          <w:sz w:val="24"/>
        </w:rPr>
        <w:t xml:space="preserve">Déficit </w:t>
      </w:r>
      <w:r w:rsidR="008A6BFF" w:rsidRPr="00AC1506">
        <w:rPr>
          <w:rFonts w:ascii="Times New Roman" w:hAnsi="Times New Roman" w:cs="Times New Roman"/>
          <w:color w:val="auto"/>
          <w:sz w:val="24"/>
        </w:rPr>
        <w:t>o</w:t>
      </w:r>
      <w:r w:rsidRPr="00AC1506">
        <w:rPr>
          <w:rFonts w:ascii="Times New Roman" w:hAnsi="Times New Roman" w:cs="Times New Roman"/>
          <w:color w:val="auto"/>
          <w:sz w:val="24"/>
        </w:rPr>
        <w:t xml:space="preserve"> Superávit fiscal)</w:t>
      </w:r>
      <w:bookmarkEnd w:id="561"/>
    </w:p>
    <w:p w14:paraId="5BA8F087" w14:textId="43543B7B" w:rsidR="00FC2D03" w:rsidRDefault="00021FD5" w:rsidP="00220281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cierre del primer trimestre</w:t>
      </w:r>
      <w:r w:rsidR="008F7BC4">
        <w:rPr>
          <w:rFonts w:ascii="Times New Roman" w:hAnsi="Times New Roman" w:cs="Times New Roman"/>
        </w:rPr>
        <w:t xml:space="preserve"> 2021</w:t>
      </w:r>
      <w:r w:rsidR="00FC4E7D">
        <w:rPr>
          <w:rFonts w:ascii="Times New Roman" w:hAnsi="Times New Roman" w:cs="Times New Roman"/>
        </w:rPr>
        <w:t>,</w:t>
      </w:r>
      <w:r w:rsidR="00E1077E">
        <w:rPr>
          <w:rFonts w:ascii="Times New Roman" w:hAnsi="Times New Roman" w:cs="Times New Roman"/>
        </w:rPr>
        <w:t xml:space="preserve"> se observa un</w:t>
      </w:r>
      <w:r w:rsidR="006F5782" w:rsidRPr="00AC1506">
        <w:rPr>
          <w:rFonts w:ascii="Times New Roman" w:hAnsi="Times New Roman" w:cs="Times New Roman"/>
        </w:rPr>
        <w:t xml:space="preserve"> </w:t>
      </w:r>
      <w:r w:rsidR="009D034E">
        <w:rPr>
          <w:rFonts w:ascii="Times New Roman" w:hAnsi="Times New Roman" w:cs="Times New Roman"/>
        </w:rPr>
        <w:t>préstamo</w:t>
      </w:r>
      <w:r w:rsidR="006F5782" w:rsidRPr="00AC1506">
        <w:rPr>
          <w:rFonts w:ascii="Times New Roman" w:hAnsi="Times New Roman" w:cs="Times New Roman"/>
        </w:rPr>
        <w:t xml:space="preserve"> </w:t>
      </w:r>
      <w:r w:rsidR="009D034E">
        <w:rPr>
          <w:rFonts w:ascii="Times New Roman" w:hAnsi="Times New Roman" w:cs="Times New Roman"/>
        </w:rPr>
        <w:t>neto</w:t>
      </w:r>
      <w:r w:rsidR="00D66DC3">
        <w:rPr>
          <w:rFonts w:ascii="Times New Roman" w:hAnsi="Times New Roman" w:cs="Times New Roman"/>
        </w:rPr>
        <w:t xml:space="preserve"> </w:t>
      </w:r>
      <w:r w:rsidR="006F5782" w:rsidRPr="00AC1506">
        <w:rPr>
          <w:rFonts w:ascii="Times New Roman" w:hAnsi="Times New Roman" w:cs="Times New Roman"/>
        </w:rPr>
        <w:t>(</w:t>
      </w:r>
      <w:r w:rsidR="00D66DC3">
        <w:rPr>
          <w:rFonts w:ascii="Times New Roman" w:hAnsi="Times New Roman" w:cs="Times New Roman"/>
        </w:rPr>
        <w:t>superávit</w:t>
      </w:r>
      <w:r w:rsidR="003E49B2">
        <w:rPr>
          <w:rFonts w:ascii="Times New Roman" w:hAnsi="Times New Roman" w:cs="Times New Roman"/>
        </w:rPr>
        <w:t xml:space="preserve"> fiscal</w:t>
      </w:r>
      <w:r w:rsidR="006F5782" w:rsidRPr="00AC1506">
        <w:rPr>
          <w:rFonts w:ascii="Times New Roman" w:hAnsi="Times New Roman" w:cs="Times New Roman"/>
        </w:rPr>
        <w:t>)</w:t>
      </w:r>
      <w:r w:rsidR="00253CD8">
        <w:rPr>
          <w:rFonts w:ascii="Times New Roman" w:hAnsi="Times New Roman" w:cs="Times New Roman"/>
        </w:rPr>
        <w:t xml:space="preserve"> </w:t>
      </w:r>
      <w:r w:rsidR="00D66DC3">
        <w:rPr>
          <w:rFonts w:ascii="Times New Roman" w:hAnsi="Times New Roman" w:cs="Times New Roman"/>
        </w:rPr>
        <w:t>para</w:t>
      </w:r>
      <w:r w:rsidR="00253CD8">
        <w:rPr>
          <w:rFonts w:ascii="Times New Roman" w:hAnsi="Times New Roman" w:cs="Times New Roman"/>
        </w:rPr>
        <w:t xml:space="preserve"> Gobierno Central Presupuestario </w:t>
      </w:r>
      <w:r w:rsidR="00D66DC3">
        <w:rPr>
          <w:rFonts w:ascii="Times New Roman" w:hAnsi="Times New Roman" w:cs="Times New Roman"/>
        </w:rPr>
        <w:t xml:space="preserve">de </w:t>
      </w:r>
      <w:r w:rsidR="006F5782" w:rsidRPr="00AC1506">
        <w:rPr>
          <w:rFonts w:ascii="Times New Roman" w:hAnsi="Times New Roman" w:cs="Times New Roman"/>
        </w:rPr>
        <w:t>Q</w:t>
      </w:r>
      <w:r w:rsidR="00D66DC3">
        <w:rPr>
          <w:rFonts w:ascii="Times New Roman" w:hAnsi="Times New Roman" w:cs="Times New Roman"/>
        </w:rPr>
        <w:t>1</w:t>
      </w:r>
      <w:r w:rsidR="00B70774" w:rsidRPr="00AC1506">
        <w:rPr>
          <w:rFonts w:ascii="Times New Roman" w:hAnsi="Times New Roman" w:cs="Times New Roman"/>
        </w:rPr>
        <w:t>,</w:t>
      </w:r>
      <w:r w:rsidR="00D66DC3">
        <w:rPr>
          <w:rFonts w:ascii="Times New Roman" w:hAnsi="Times New Roman" w:cs="Times New Roman"/>
        </w:rPr>
        <w:t>54</w:t>
      </w:r>
      <w:r w:rsidR="00844F46">
        <w:rPr>
          <w:rFonts w:ascii="Times New Roman" w:hAnsi="Times New Roman" w:cs="Times New Roman"/>
        </w:rPr>
        <w:t>4</w:t>
      </w:r>
      <w:r w:rsidR="00B70774" w:rsidRPr="00AC1506">
        <w:rPr>
          <w:rFonts w:ascii="Times New Roman" w:hAnsi="Times New Roman" w:cs="Times New Roman"/>
        </w:rPr>
        <w:t>.</w:t>
      </w:r>
      <w:r w:rsidR="008F7BC4">
        <w:rPr>
          <w:rFonts w:ascii="Times New Roman" w:hAnsi="Times New Roman" w:cs="Times New Roman"/>
        </w:rPr>
        <w:t>7</w:t>
      </w:r>
      <w:r w:rsidR="00C339D9" w:rsidRPr="00AC1506">
        <w:rPr>
          <w:rFonts w:ascii="Times New Roman" w:hAnsi="Times New Roman" w:cs="Times New Roman"/>
        </w:rPr>
        <w:t xml:space="preserve"> </w:t>
      </w:r>
      <w:r w:rsidR="006B6F8B" w:rsidRPr="00AC1506">
        <w:rPr>
          <w:rFonts w:ascii="Times New Roman" w:hAnsi="Times New Roman" w:cs="Times New Roman"/>
        </w:rPr>
        <w:t xml:space="preserve">millones, </w:t>
      </w:r>
      <w:r w:rsidR="002808AA">
        <w:rPr>
          <w:rFonts w:ascii="Times New Roman" w:hAnsi="Times New Roman" w:cs="Times New Roman"/>
        </w:rPr>
        <w:t xml:space="preserve">cifra </w:t>
      </w:r>
      <w:r w:rsidR="00E868D4">
        <w:rPr>
          <w:rFonts w:ascii="Times New Roman" w:hAnsi="Times New Roman" w:cs="Times New Roman"/>
        </w:rPr>
        <w:t xml:space="preserve">que se encuentra </w:t>
      </w:r>
      <w:r w:rsidR="003009C9">
        <w:rPr>
          <w:rFonts w:ascii="Times New Roman" w:hAnsi="Times New Roman" w:cs="Times New Roman"/>
        </w:rPr>
        <w:t>por encima de l</w:t>
      </w:r>
      <w:r w:rsidR="005000F5">
        <w:rPr>
          <w:rFonts w:ascii="Times New Roman" w:hAnsi="Times New Roman" w:cs="Times New Roman"/>
        </w:rPr>
        <w:t>a</w:t>
      </w:r>
      <w:r w:rsidR="003009C9">
        <w:rPr>
          <w:rFonts w:ascii="Times New Roman" w:hAnsi="Times New Roman" w:cs="Times New Roman"/>
        </w:rPr>
        <w:t xml:space="preserve"> </w:t>
      </w:r>
      <w:r w:rsidR="00801748" w:rsidRPr="00AC1506">
        <w:rPr>
          <w:rFonts w:ascii="Times New Roman" w:hAnsi="Times New Roman" w:cs="Times New Roman"/>
        </w:rPr>
        <w:t>observad</w:t>
      </w:r>
      <w:r w:rsidR="005000F5">
        <w:rPr>
          <w:rFonts w:ascii="Times New Roman" w:hAnsi="Times New Roman" w:cs="Times New Roman"/>
        </w:rPr>
        <w:t>a</w:t>
      </w:r>
      <w:r w:rsidR="00801748" w:rsidRPr="00AC1506">
        <w:rPr>
          <w:rFonts w:ascii="Times New Roman" w:hAnsi="Times New Roman" w:cs="Times New Roman"/>
        </w:rPr>
        <w:t xml:space="preserve"> en 20</w:t>
      </w:r>
      <w:r w:rsidR="008F7BC4">
        <w:rPr>
          <w:rFonts w:ascii="Times New Roman" w:hAnsi="Times New Roman" w:cs="Times New Roman"/>
        </w:rPr>
        <w:t>20</w:t>
      </w:r>
      <w:r w:rsidR="00BB1915">
        <w:rPr>
          <w:rFonts w:ascii="Times New Roman" w:hAnsi="Times New Roman" w:cs="Times New Roman"/>
        </w:rPr>
        <w:t>,</w:t>
      </w:r>
      <w:r w:rsidR="00801748" w:rsidRPr="00AC1506">
        <w:rPr>
          <w:rFonts w:ascii="Times New Roman" w:hAnsi="Times New Roman" w:cs="Times New Roman"/>
        </w:rPr>
        <w:t xml:space="preserve"> </w:t>
      </w:r>
      <w:r w:rsidR="003009C9">
        <w:rPr>
          <w:rFonts w:ascii="Times New Roman" w:hAnsi="Times New Roman" w:cs="Times New Roman"/>
        </w:rPr>
        <w:t xml:space="preserve">la cual </w:t>
      </w:r>
      <w:r w:rsidR="004741F9">
        <w:rPr>
          <w:rFonts w:ascii="Times New Roman" w:hAnsi="Times New Roman" w:cs="Times New Roman"/>
        </w:rPr>
        <w:t>fue un endeudamiento</w:t>
      </w:r>
      <w:r w:rsidR="00BB1915">
        <w:rPr>
          <w:rFonts w:ascii="Times New Roman" w:hAnsi="Times New Roman" w:cs="Times New Roman"/>
        </w:rPr>
        <w:t xml:space="preserve"> </w:t>
      </w:r>
      <w:r w:rsidR="004741F9">
        <w:rPr>
          <w:rFonts w:ascii="Times New Roman" w:hAnsi="Times New Roman" w:cs="Times New Roman"/>
        </w:rPr>
        <w:t xml:space="preserve">neto </w:t>
      </w:r>
      <w:r w:rsidR="00FC2D03">
        <w:rPr>
          <w:rFonts w:ascii="Times New Roman" w:hAnsi="Times New Roman" w:cs="Times New Roman"/>
        </w:rPr>
        <w:t xml:space="preserve">(déficit) </w:t>
      </w:r>
      <w:r w:rsidR="003009C9">
        <w:rPr>
          <w:rFonts w:ascii="Times New Roman" w:hAnsi="Times New Roman" w:cs="Times New Roman"/>
        </w:rPr>
        <w:t xml:space="preserve">de </w:t>
      </w:r>
      <w:r w:rsidR="00A2423A" w:rsidRPr="00AC1506">
        <w:rPr>
          <w:rFonts w:ascii="Times New Roman" w:hAnsi="Times New Roman" w:cs="Times New Roman"/>
        </w:rPr>
        <w:t>Q</w:t>
      </w:r>
      <w:r w:rsidR="00844F46">
        <w:rPr>
          <w:rFonts w:ascii="Times New Roman" w:hAnsi="Times New Roman" w:cs="Times New Roman"/>
        </w:rPr>
        <w:t>1</w:t>
      </w:r>
      <w:r w:rsidR="004741F9">
        <w:rPr>
          <w:rFonts w:ascii="Times New Roman" w:hAnsi="Times New Roman" w:cs="Times New Roman"/>
        </w:rPr>
        <w:t>,</w:t>
      </w:r>
      <w:r w:rsidR="00844F46">
        <w:rPr>
          <w:rFonts w:ascii="Times New Roman" w:hAnsi="Times New Roman" w:cs="Times New Roman"/>
        </w:rPr>
        <w:t>3</w:t>
      </w:r>
      <w:r w:rsidR="004741F9">
        <w:rPr>
          <w:rFonts w:ascii="Times New Roman" w:hAnsi="Times New Roman" w:cs="Times New Roman"/>
        </w:rPr>
        <w:t>80</w:t>
      </w:r>
      <w:r w:rsidR="003009C9">
        <w:rPr>
          <w:rFonts w:ascii="Times New Roman" w:hAnsi="Times New Roman" w:cs="Times New Roman"/>
        </w:rPr>
        <w:t>.</w:t>
      </w:r>
      <w:r w:rsidR="00376EE6">
        <w:rPr>
          <w:rFonts w:ascii="Times New Roman" w:hAnsi="Times New Roman" w:cs="Times New Roman"/>
        </w:rPr>
        <w:t>6</w:t>
      </w:r>
      <w:r w:rsidR="003D050C" w:rsidRPr="00AC1506">
        <w:rPr>
          <w:rFonts w:ascii="Times New Roman" w:hAnsi="Times New Roman" w:cs="Times New Roman"/>
        </w:rPr>
        <w:t xml:space="preserve"> millone</w:t>
      </w:r>
      <w:r w:rsidR="005000F5">
        <w:rPr>
          <w:rFonts w:ascii="Times New Roman" w:hAnsi="Times New Roman" w:cs="Times New Roman"/>
        </w:rPr>
        <w:t>s</w:t>
      </w:r>
      <w:r w:rsidR="00FC2D03">
        <w:rPr>
          <w:rFonts w:ascii="Times New Roman" w:hAnsi="Times New Roman" w:cs="Times New Roman"/>
        </w:rPr>
        <w:t xml:space="preserve">, siendo </w:t>
      </w:r>
      <w:r w:rsidR="00E868D4">
        <w:rPr>
          <w:rFonts w:ascii="Times New Roman" w:hAnsi="Times New Roman" w:cs="Times New Roman"/>
        </w:rPr>
        <w:t xml:space="preserve">una </w:t>
      </w:r>
      <w:r w:rsidR="003009C9">
        <w:rPr>
          <w:rFonts w:ascii="Times New Roman" w:hAnsi="Times New Roman" w:cs="Times New Roman"/>
        </w:rPr>
        <w:t xml:space="preserve">diferencia </w:t>
      </w:r>
      <w:r w:rsidR="00FC2D03">
        <w:rPr>
          <w:rFonts w:ascii="Times New Roman" w:hAnsi="Times New Roman" w:cs="Times New Roman"/>
        </w:rPr>
        <w:t>interanual de</w:t>
      </w:r>
      <w:r w:rsidR="003009C9">
        <w:rPr>
          <w:rFonts w:ascii="Times New Roman" w:hAnsi="Times New Roman" w:cs="Times New Roman"/>
        </w:rPr>
        <w:t xml:space="preserve"> </w:t>
      </w:r>
      <w:r w:rsidR="0075426C" w:rsidRPr="008863D0">
        <w:rPr>
          <w:rFonts w:ascii="Times New Roman" w:hAnsi="Times New Roman" w:cs="Times New Roman"/>
        </w:rPr>
        <w:t>Q</w:t>
      </w:r>
      <w:r w:rsidR="00844F46" w:rsidRPr="008863D0">
        <w:rPr>
          <w:rFonts w:ascii="Times New Roman" w:hAnsi="Times New Roman" w:cs="Times New Roman"/>
        </w:rPr>
        <w:t>2</w:t>
      </w:r>
      <w:r w:rsidR="0075426C" w:rsidRPr="008863D0">
        <w:rPr>
          <w:rFonts w:ascii="Times New Roman" w:hAnsi="Times New Roman" w:cs="Times New Roman"/>
        </w:rPr>
        <w:t>,</w:t>
      </w:r>
      <w:r w:rsidR="00121A26" w:rsidRPr="008863D0">
        <w:rPr>
          <w:rFonts w:ascii="Times New Roman" w:hAnsi="Times New Roman" w:cs="Times New Roman"/>
        </w:rPr>
        <w:t>925.3</w:t>
      </w:r>
      <w:r w:rsidR="0075426C" w:rsidRPr="008863D0">
        <w:rPr>
          <w:rFonts w:ascii="Times New Roman" w:hAnsi="Times New Roman" w:cs="Times New Roman"/>
        </w:rPr>
        <w:t xml:space="preserve"> millones</w:t>
      </w:r>
      <w:r w:rsidR="00E02D89" w:rsidRPr="008863D0">
        <w:rPr>
          <w:rFonts w:ascii="Times New Roman" w:hAnsi="Times New Roman" w:cs="Times New Roman"/>
        </w:rPr>
        <w:t>.</w:t>
      </w:r>
      <w:r w:rsidR="003D050C" w:rsidRPr="00AC1506">
        <w:rPr>
          <w:rFonts w:ascii="Times New Roman" w:hAnsi="Times New Roman" w:cs="Times New Roman"/>
        </w:rPr>
        <w:t xml:space="preserve"> </w:t>
      </w:r>
    </w:p>
    <w:p w14:paraId="23975165" w14:textId="77777777" w:rsidR="00FC2D03" w:rsidRDefault="00FC2D03" w:rsidP="00220281">
      <w:pPr>
        <w:pStyle w:val="Sinespaciado"/>
        <w:jc w:val="both"/>
        <w:rPr>
          <w:rFonts w:ascii="Times New Roman" w:hAnsi="Times New Roman" w:cs="Times New Roman"/>
        </w:rPr>
      </w:pPr>
    </w:p>
    <w:p w14:paraId="65EA8E44" w14:textId="7B205CDC" w:rsidR="00AB01D3" w:rsidRDefault="00635631" w:rsidP="00220281">
      <w:pPr>
        <w:pStyle w:val="Sinespaciado"/>
        <w:jc w:val="both"/>
        <w:rPr>
          <w:rFonts w:ascii="Times New Roman" w:hAnsi="Times New Roman" w:cs="Times New Roman"/>
        </w:rPr>
      </w:pPr>
      <w:r w:rsidRPr="00AC1506">
        <w:rPr>
          <w:rFonts w:ascii="Times New Roman" w:hAnsi="Times New Roman" w:cs="Times New Roman"/>
        </w:rPr>
        <w:t>E</w:t>
      </w:r>
      <w:r w:rsidR="00CF38DF" w:rsidRPr="00AC1506">
        <w:rPr>
          <w:rFonts w:ascii="Times New Roman" w:hAnsi="Times New Roman" w:cs="Times New Roman"/>
        </w:rPr>
        <w:t>n gran medid</w:t>
      </w:r>
      <w:r w:rsidR="00C27F12">
        <w:rPr>
          <w:rFonts w:ascii="Times New Roman" w:hAnsi="Times New Roman" w:cs="Times New Roman"/>
        </w:rPr>
        <w:t xml:space="preserve">a </w:t>
      </w:r>
      <w:r w:rsidR="00497593">
        <w:rPr>
          <w:rFonts w:ascii="Times New Roman" w:hAnsi="Times New Roman" w:cs="Times New Roman"/>
        </w:rPr>
        <w:t>este</w:t>
      </w:r>
      <w:r w:rsidR="00C27F12">
        <w:rPr>
          <w:rFonts w:ascii="Times New Roman" w:hAnsi="Times New Roman" w:cs="Times New Roman"/>
        </w:rPr>
        <w:t xml:space="preserve"> resultado observado</w:t>
      </w:r>
      <w:r w:rsidR="00CF38DF" w:rsidRPr="00AC1506">
        <w:rPr>
          <w:rFonts w:ascii="Times New Roman" w:hAnsi="Times New Roman" w:cs="Times New Roman"/>
        </w:rPr>
        <w:t xml:space="preserve"> </w:t>
      </w:r>
      <w:r w:rsidR="00121A26">
        <w:rPr>
          <w:rFonts w:ascii="Times New Roman" w:hAnsi="Times New Roman" w:cs="Times New Roman"/>
        </w:rPr>
        <w:t>entre ambos años</w:t>
      </w:r>
      <w:r w:rsidR="00C27F12">
        <w:rPr>
          <w:rFonts w:ascii="Times New Roman" w:hAnsi="Times New Roman" w:cs="Times New Roman"/>
        </w:rPr>
        <w:t xml:space="preserve"> es explicado </w:t>
      </w:r>
      <w:r w:rsidR="00147BFA">
        <w:rPr>
          <w:rFonts w:ascii="Times New Roman" w:hAnsi="Times New Roman" w:cs="Times New Roman"/>
        </w:rPr>
        <w:t xml:space="preserve">por </w:t>
      </w:r>
      <w:r w:rsidR="009E578C" w:rsidRPr="00AC1506">
        <w:rPr>
          <w:rFonts w:ascii="Times New Roman" w:hAnsi="Times New Roman" w:cs="Times New Roman"/>
        </w:rPr>
        <w:t>la</w:t>
      </w:r>
      <w:r w:rsidR="009E578C">
        <w:rPr>
          <w:rFonts w:ascii="Times New Roman" w:hAnsi="Times New Roman" w:cs="Times New Roman"/>
        </w:rPr>
        <w:t>s circunstancias</w:t>
      </w:r>
      <w:r w:rsidR="00121A26">
        <w:rPr>
          <w:rFonts w:ascii="Times New Roman" w:hAnsi="Times New Roman" w:cs="Times New Roman"/>
        </w:rPr>
        <w:t xml:space="preserve"> vividas en el año 2020 der</w:t>
      </w:r>
      <w:r w:rsidR="009E578C">
        <w:rPr>
          <w:rFonts w:ascii="Times New Roman" w:hAnsi="Times New Roman" w:cs="Times New Roman"/>
        </w:rPr>
        <w:t>ivado a la</w:t>
      </w:r>
      <w:r w:rsidR="008F276C" w:rsidRPr="00AC1506">
        <w:rPr>
          <w:rFonts w:ascii="Times New Roman" w:hAnsi="Times New Roman" w:cs="Times New Roman"/>
        </w:rPr>
        <w:t xml:space="preserve"> pandemia</w:t>
      </w:r>
      <w:r w:rsidR="00CF38DF" w:rsidRPr="00AC1506">
        <w:rPr>
          <w:rFonts w:ascii="Times New Roman" w:hAnsi="Times New Roman" w:cs="Times New Roman"/>
        </w:rPr>
        <w:t xml:space="preserve"> COVID-19</w:t>
      </w:r>
      <w:r w:rsidR="00E02D89">
        <w:rPr>
          <w:rFonts w:ascii="Times New Roman" w:hAnsi="Times New Roman" w:cs="Times New Roman"/>
        </w:rPr>
        <w:t xml:space="preserve"> y su impacto en </w:t>
      </w:r>
      <w:r w:rsidR="00C47785">
        <w:rPr>
          <w:rFonts w:ascii="Times New Roman" w:hAnsi="Times New Roman" w:cs="Times New Roman"/>
        </w:rPr>
        <w:t xml:space="preserve">los ingresos y la necesidad de aumentar el </w:t>
      </w:r>
      <w:r w:rsidR="00440298">
        <w:rPr>
          <w:rFonts w:ascii="Times New Roman" w:hAnsi="Times New Roman" w:cs="Times New Roman"/>
        </w:rPr>
        <w:t>g</w:t>
      </w:r>
      <w:r w:rsidR="00C47785">
        <w:rPr>
          <w:rFonts w:ascii="Times New Roman" w:hAnsi="Times New Roman" w:cs="Times New Roman"/>
        </w:rPr>
        <w:t>asto</w:t>
      </w:r>
      <w:r w:rsidR="00497593">
        <w:rPr>
          <w:rFonts w:ascii="Times New Roman" w:hAnsi="Times New Roman" w:cs="Times New Roman"/>
        </w:rPr>
        <w:t xml:space="preserve"> público</w:t>
      </w:r>
      <w:r w:rsidR="00C47785">
        <w:rPr>
          <w:rFonts w:ascii="Times New Roman" w:hAnsi="Times New Roman" w:cs="Times New Roman"/>
        </w:rPr>
        <w:t xml:space="preserve"> para atender las</w:t>
      </w:r>
      <w:r w:rsidR="00867227">
        <w:rPr>
          <w:rFonts w:ascii="Times New Roman" w:hAnsi="Times New Roman" w:cs="Times New Roman"/>
        </w:rPr>
        <w:t xml:space="preserve"> </w:t>
      </w:r>
      <w:r w:rsidR="00440298">
        <w:rPr>
          <w:rFonts w:ascii="Times New Roman" w:hAnsi="Times New Roman" w:cs="Times New Roman"/>
        </w:rPr>
        <w:t>necesidades de la población guatemalteca durante este período</w:t>
      </w:r>
      <w:r w:rsidR="00147BFA">
        <w:rPr>
          <w:rFonts w:ascii="Times New Roman" w:hAnsi="Times New Roman" w:cs="Times New Roman"/>
        </w:rPr>
        <w:t>.</w:t>
      </w:r>
    </w:p>
    <w:p w14:paraId="4F4FEF80" w14:textId="48A3F33E" w:rsidR="00FE4F9B" w:rsidRDefault="00FE4F9B">
      <w:pPr>
        <w:spacing w:after="200" w:line="276" w:lineRule="auto"/>
        <w:jc w:val="left"/>
        <w:rPr>
          <w:rFonts w:eastAsiaTheme="minorHAnsi" w:cs="Times New Roman"/>
          <w:szCs w:val="22"/>
          <w:lang w:eastAsia="en-US"/>
        </w:rPr>
      </w:pPr>
      <w:r>
        <w:rPr>
          <w:rFonts w:cs="Times New Roman"/>
        </w:rPr>
        <w:br w:type="page"/>
      </w:r>
    </w:p>
    <w:p w14:paraId="54B76105" w14:textId="77777777" w:rsidR="00FE4F9B" w:rsidRDefault="00FE4F9B" w:rsidP="00220281">
      <w:pPr>
        <w:pStyle w:val="Sinespaciado"/>
        <w:jc w:val="both"/>
        <w:rPr>
          <w:rFonts w:cs="Times New Roman"/>
          <w:b/>
          <w:lang w:val="es-MX"/>
        </w:rPr>
      </w:pPr>
    </w:p>
    <w:p w14:paraId="6B220308" w14:textId="77777777" w:rsidR="00C244C3" w:rsidRDefault="00C244C3" w:rsidP="00997543">
      <w:pPr>
        <w:jc w:val="center"/>
        <w:rPr>
          <w:rFonts w:cs="Times New Roman"/>
          <w:b/>
          <w:szCs w:val="22"/>
          <w:lang w:val="es-MX"/>
        </w:rPr>
      </w:pPr>
    </w:p>
    <w:p w14:paraId="3414FDFB" w14:textId="7260C661" w:rsidR="00264A75" w:rsidRPr="00AC1506" w:rsidRDefault="00264A75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t xml:space="preserve">Estado de </w:t>
      </w:r>
      <w:r w:rsidR="00697544" w:rsidRPr="00AC1506">
        <w:rPr>
          <w:rFonts w:cs="Times New Roman"/>
          <w:b/>
          <w:szCs w:val="22"/>
          <w:lang w:val="es-MX"/>
        </w:rPr>
        <w:t>O</w:t>
      </w:r>
      <w:r w:rsidRPr="00AC1506">
        <w:rPr>
          <w:rFonts w:cs="Times New Roman"/>
          <w:b/>
          <w:szCs w:val="22"/>
          <w:lang w:val="es-MX"/>
        </w:rPr>
        <w:t>peraciones</w:t>
      </w:r>
      <w:r w:rsidR="007105EE" w:rsidRPr="00AC1506">
        <w:rPr>
          <w:rFonts w:cs="Times New Roman"/>
          <w:b/>
          <w:szCs w:val="22"/>
          <w:lang w:val="es-MX"/>
        </w:rPr>
        <w:t xml:space="preserve"> </w:t>
      </w:r>
      <w:r w:rsidRPr="00AC1506">
        <w:rPr>
          <w:rFonts w:cs="Times New Roman"/>
          <w:b/>
          <w:szCs w:val="22"/>
          <w:lang w:val="es-MX"/>
        </w:rPr>
        <w:t>del Gobierno Central Presupuestario</w:t>
      </w:r>
    </w:p>
    <w:p w14:paraId="2E3C6876" w14:textId="65B679A2" w:rsidR="007105EE" w:rsidRPr="00AC1506" w:rsidRDefault="007105EE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t xml:space="preserve">Cifras acumuladas a </w:t>
      </w:r>
      <w:r w:rsidR="0040363B">
        <w:rPr>
          <w:rFonts w:cs="Times New Roman"/>
          <w:b/>
          <w:szCs w:val="22"/>
          <w:lang w:val="es-MX"/>
        </w:rPr>
        <w:t>marzo de cada año</w:t>
      </w:r>
      <w:r w:rsidRPr="00AC1506">
        <w:rPr>
          <w:rFonts w:cs="Times New Roman"/>
          <w:b/>
          <w:szCs w:val="22"/>
          <w:lang w:val="es-MX"/>
        </w:rPr>
        <w:t>*</w:t>
      </w:r>
    </w:p>
    <w:p w14:paraId="573DB828" w14:textId="79DD8E71" w:rsidR="00697544" w:rsidRDefault="00697544" w:rsidP="00AB01D3">
      <w:pPr>
        <w:spacing w:after="240"/>
        <w:jc w:val="center"/>
        <w:rPr>
          <w:rFonts w:cs="Times New Roman"/>
          <w:bCs/>
          <w:szCs w:val="22"/>
          <w:lang w:val="es-MX"/>
        </w:rPr>
      </w:pPr>
      <w:r w:rsidRPr="00AC1506">
        <w:rPr>
          <w:rFonts w:cs="Times New Roman"/>
          <w:bCs/>
          <w:szCs w:val="22"/>
          <w:lang w:val="es-MX"/>
        </w:rPr>
        <w:t>En millones de Quetzales</w:t>
      </w:r>
      <w:r w:rsidR="00414C97" w:rsidRPr="00AC1506">
        <w:rPr>
          <w:rFonts w:cs="Times New Roman"/>
          <w:bCs/>
          <w:szCs w:val="22"/>
          <w:lang w:val="es-MX"/>
        </w:rPr>
        <w:t xml:space="preserve"> y</w:t>
      </w:r>
      <w:r w:rsidR="0090006B">
        <w:rPr>
          <w:rFonts w:cs="Times New Roman"/>
          <w:bCs/>
          <w:szCs w:val="22"/>
          <w:lang w:val="es-MX"/>
        </w:rPr>
        <w:t xml:space="preserve"> </w:t>
      </w:r>
      <w:r w:rsidR="00414C97" w:rsidRPr="00AC1506">
        <w:rPr>
          <w:rFonts w:cs="Times New Roman"/>
          <w:bCs/>
          <w:szCs w:val="22"/>
          <w:lang w:val="es-MX"/>
        </w:rPr>
        <w:t>Porcentajes</w:t>
      </w:r>
    </w:p>
    <w:tbl>
      <w:tblPr>
        <w:tblW w:w="72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7"/>
        <w:gridCol w:w="945"/>
        <w:gridCol w:w="945"/>
        <w:gridCol w:w="945"/>
        <w:gridCol w:w="911"/>
      </w:tblGrid>
      <w:tr w:rsidR="00844F46" w:rsidRPr="00844F46" w14:paraId="7189854A" w14:textId="77777777" w:rsidTr="002700BC">
        <w:trPr>
          <w:trHeight w:val="267"/>
          <w:jc w:val="center"/>
        </w:trPr>
        <w:tc>
          <w:tcPr>
            <w:tcW w:w="34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44546A"/>
            <w:noWrap/>
            <w:vAlign w:val="center"/>
            <w:hideMark/>
          </w:tcPr>
          <w:p w14:paraId="5E0E8680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Descripción</w:t>
            </w:r>
          </w:p>
        </w:tc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6E4AD4AF" w14:textId="3FF386D6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  <w:r w:rsidR="008251CF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</w:p>
        </w:tc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47CE24E6" w14:textId="290BE4E0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  <w:r w:rsidR="008251CF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21</w:t>
            </w: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*</w:t>
            </w:r>
          </w:p>
        </w:tc>
        <w:tc>
          <w:tcPr>
            <w:tcW w:w="18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4546A"/>
            <w:vAlign w:val="center"/>
            <w:hideMark/>
          </w:tcPr>
          <w:p w14:paraId="4A6A77FA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Variación Interanual</w:t>
            </w:r>
          </w:p>
        </w:tc>
      </w:tr>
      <w:tr w:rsidR="00844F46" w:rsidRPr="00844F46" w14:paraId="6747E5DC" w14:textId="77777777" w:rsidTr="002700BC">
        <w:trPr>
          <w:trHeight w:val="267"/>
          <w:jc w:val="center"/>
        </w:trPr>
        <w:tc>
          <w:tcPr>
            <w:tcW w:w="34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CB4F0F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4D0EE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03C89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54F3A33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Absoluta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B7875B1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Relativa</w:t>
            </w:r>
          </w:p>
        </w:tc>
      </w:tr>
      <w:tr w:rsidR="00091A7F" w:rsidRPr="00844F46" w14:paraId="1A948E7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0B9A" w14:textId="77777777" w:rsidR="00091A7F" w:rsidRPr="005E4085" w:rsidRDefault="00091A7F" w:rsidP="00091A7F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INGRESO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540" w14:textId="50FEE614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16,053.2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7E15" w14:textId="2DA87515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19,249.2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9957" w14:textId="51B5558B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3,196.1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4A70" w14:textId="678170F7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19.9</w:t>
            </w:r>
          </w:p>
        </w:tc>
      </w:tr>
      <w:tr w:rsidR="00091A7F" w:rsidRPr="00844F46" w14:paraId="4FEC7DF9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4F84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Impuestos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4954" w14:textId="4A4A4A16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14,347.4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F535" w14:textId="38DA43EA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17,629.5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B5FE" w14:textId="5991D13F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3,282.1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8C8C" w14:textId="2F06FE34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22.9</w:t>
            </w:r>
          </w:p>
        </w:tc>
      </w:tr>
      <w:tr w:rsidR="00091A7F" w:rsidRPr="00844F46" w14:paraId="297E40E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A340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Contribuciones sociales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B2BB" w14:textId="188E2A6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1,127.3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79A9" w14:textId="508E2EE4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1,139.9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3E68" w14:textId="02AC9E4B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F8D7" w14:textId="6BB753BE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1.1</w:t>
            </w:r>
          </w:p>
        </w:tc>
      </w:tr>
      <w:tr w:rsidR="00091A7F" w:rsidRPr="00844F46" w14:paraId="000DC059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9303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Donaciones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B86C" w14:textId="77179C7A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FB74" w14:textId="6A403453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3A0E" w14:textId="589F9A69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E54E" w14:textId="04EAE6BF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26.5</w:t>
            </w:r>
          </w:p>
        </w:tc>
      </w:tr>
      <w:tr w:rsidR="00091A7F" w:rsidRPr="00844F46" w14:paraId="7478AF33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D619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Otros ingresos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46AA" w14:textId="7C9C5B56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575.2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B71B" w14:textId="72F3B625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475.8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E5C" w14:textId="299DD7BA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-99.4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9A50" w14:textId="216E38A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-17.3</w:t>
            </w:r>
          </w:p>
        </w:tc>
      </w:tr>
      <w:tr w:rsidR="00091A7F" w:rsidRPr="00844F46" w14:paraId="40B39911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23F3" w14:textId="77777777" w:rsidR="00091A7F" w:rsidRPr="005E4085" w:rsidRDefault="00091A7F" w:rsidP="00091A7F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GASTO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F4D3" w14:textId="18EECEE8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17,229.6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0A6E" w14:textId="1D84DC2C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17,218.8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1E9E" w14:textId="396C3418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-10.8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423B" w14:textId="26AB0EC0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-0.1</w:t>
            </w:r>
          </w:p>
        </w:tc>
      </w:tr>
      <w:tr w:rsidR="00091A7F" w:rsidRPr="00844F46" w14:paraId="67333C8C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ED87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Remuneración a los empleados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3167" w14:textId="3C66ABB6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7,053.3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22B2" w14:textId="3BAA29A2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7,240.8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DE2F" w14:textId="091B164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187.5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6A8C" w14:textId="160A5B2D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2.7</w:t>
            </w:r>
          </w:p>
        </w:tc>
      </w:tr>
      <w:tr w:rsidR="00091A7F" w:rsidRPr="00844F46" w14:paraId="59FCF9E5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AFD6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Uso de bienes y servicios 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6A94" w14:textId="2CD72A60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1,326.3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6E54" w14:textId="642C010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1,658.9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800D" w14:textId="00B0320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332.6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765F" w14:textId="0044EE2F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25.1</w:t>
            </w:r>
          </w:p>
        </w:tc>
      </w:tr>
      <w:tr w:rsidR="00091A7F" w:rsidRPr="00844F46" w14:paraId="3AD19077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A8CC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Intereses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7573" w14:textId="095B66BB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1,796.9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805D" w14:textId="709FE220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1,820.7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437A" w14:textId="288F9A21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9B67" w14:textId="54E745D6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1.3</w:t>
            </w:r>
          </w:p>
        </w:tc>
      </w:tr>
      <w:tr w:rsidR="00091A7F" w:rsidRPr="00844F46" w14:paraId="67DF567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FB1A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Subsidios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CE10" w14:textId="0BC224EE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2FCC" w14:textId="13EC48E0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AC35" w14:textId="257BE77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33EA" w14:textId="5BBC44F2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15.8</w:t>
            </w:r>
          </w:p>
        </w:tc>
      </w:tr>
      <w:tr w:rsidR="00091A7F" w:rsidRPr="00844F46" w14:paraId="724C7E0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32B4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Donaciones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2B29" w14:textId="075D4A67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4,464.2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A2D4" w14:textId="7D690CF9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4,134.4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7E2C" w14:textId="6FB1A98C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-329.8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520C" w14:textId="7328CBF0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-7.4</w:t>
            </w:r>
          </w:p>
        </w:tc>
      </w:tr>
      <w:tr w:rsidR="00091A7F" w:rsidRPr="00844F46" w14:paraId="5ADE715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EE45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Prestaciones sociales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D1C3" w14:textId="39F54003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1,282.6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1A0F" w14:textId="36D4FDE6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1,270.1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5A5C" w14:textId="0CA1710B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5C01" w14:textId="7D3DE4A8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-1.0</w:t>
            </w:r>
          </w:p>
        </w:tc>
      </w:tr>
      <w:tr w:rsidR="00091A7F" w:rsidRPr="00844F46" w14:paraId="1711A3FC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2FA4" w14:textId="77777777" w:rsidR="00091A7F" w:rsidRPr="00844F46" w:rsidRDefault="00091A7F" w:rsidP="00091A7F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Otros gastos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7028" w14:textId="4520F175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1,302.1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969B" w14:textId="60ECA3F5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1,089.0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9D9D" w14:textId="4372127A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-213.0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59B1" w14:textId="2D17C047" w:rsidR="00091A7F" w:rsidRPr="005E4085" w:rsidRDefault="00091A7F" w:rsidP="00091A7F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-16.4</w:t>
            </w:r>
          </w:p>
        </w:tc>
      </w:tr>
      <w:tr w:rsidR="00091A7F" w:rsidRPr="00844F46" w14:paraId="01DF1565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B55E" w14:textId="77777777" w:rsidR="00091A7F" w:rsidRPr="005E4085" w:rsidRDefault="00091A7F" w:rsidP="00091A7F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Operativo Primario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A12E" w14:textId="1C096AE9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620.5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26DF" w14:textId="1B8ED5E2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3,851.1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0597" w14:textId="6A69565A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3,230.6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3DC2" w14:textId="5ADC5895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520.7</w:t>
            </w:r>
          </w:p>
        </w:tc>
      </w:tr>
      <w:tr w:rsidR="00091A7F" w:rsidRPr="00844F46" w14:paraId="2A9BDB9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475F7" w14:textId="77777777" w:rsidR="00091A7F" w:rsidRPr="005E4085" w:rsidRDefault="00091A7F" w:rsidP="00091A7F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Operativo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805D" w14:textId="5DC57410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-1,176.5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5564" w14:textId="286A902D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2,030.4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9C7E" w14:textId="2C93069A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3,206.8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6C56" w14:textId="4DD42744" w:rsidR="00091A7F" w:rsidRPr="005E4085" w:rsidRDefault="00091A7F" w:rsidP="00091A7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-272.6</w:t>
            </w:r>
          </w:p>
        </w:tc>
      </w:tr>
      <w:tr w:rsidR="00844F46" w:rsidRPr="00844F46" w14:paraId="77085E0E" w14:textId="77777777" w:rsidTr="002700BC">
        <w:trPr>
          <w:trHeight w:val="267"/>
          <w:jc w:val="center"/>
        </w:trPr>
        <w:tc>
          <w:tcPr>
            <w:tcW w:w="7213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31DBB" w14:textId="77777777" w:rsidR="00844F46" w:rsidRPr="00844F46" w:rsidRDefault="00844F46" w:rsidP="00844F46">
            <w:pPr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  <w:t>TRANSACCIONES EN ACTIVOS NO FINANCIEROS</w:t>
            </w:r>
          </w:p>
        </w:tc>
      </w:tr>
      <w:tr w:rsidR="0040363B" w:rsidRPr="00844F46" w14:paraId="7A3A78CB" w14:textId="77777777" w:rsidTr="002700BC">
        <w:trPr>
          <w:trHeight w:val="267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3819" w14:textId="77777777" w:rsidR="0040363B" w:rsidRPr="00844F46" w:rsidRDefault="0040363B" w:rsidP="0040363B">
            <w:pPr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Inversión bruta en activos no financieros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D80B" w14:textId="065DFEA2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204.1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0A59" w14:textId="59DFD4BB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485.7</w:t>
            </w:r>
          </w:p>
        </w:tc>
        <w:tc>
          <w:tcPr>
            <w:tcW w:w="945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9E9E" w14:textId="08B7B993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281.6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0CA2" w14:textId="2456B8B8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137.9</w:t>
            </w:r>
          </w:p>
        </w:tc>
      </w:tr>
      <w:tr w:rsidR="0040363B" w:rsidRPr="00844F46" w14:paraId="01D8AC3E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EAB3" w14:textId="77777777" w:rsidR="0040363B" w:rsidRPr="00844F46" w:rsidRDefault="0040363B" w:rsidP="0040363B">
            <w:pPr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Erogación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9EAF" w14:textId="4B012AF5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17,433.7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6841" w14:textId="6F2F667B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17,704.5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66CB" w14:textId="027EB8B8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270.8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6A23" w14:textId="3DA8EAA5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1.6</w:t>
            </w:r>
          </w:p>
        </w:tc>
      </w:tr>
      <w:tr w:rsidR="0040363B" w:rsidRPr="00844F46" w14:paraId="70F1CFD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6CCF" w14:textId="77777777" w:rsidR="0040363B" w:rsidRPr="00844F46" w:rsidRDefault="0040363B" w:rsidP="0040363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Primario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3A6F" w14:textId="41411D1A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416.4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A133" w14:textId="5F0CDECF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3,365.4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D228" w14:textId="4331FE9C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2,949.1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81DF3" w14:textId="06A01CC3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708.3</w:t>
            </w:r>
          </w:p>
        </w:tc>
      </w:tr>
      <w:tr w:rsidR="0040363B" w:rsidRPr="00844F46" w14:paraId="7EDB2478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44EB" w14:textId="77777777" w:rsidR="0040363B" w:rsidRPr="00844F46" w:rsidRDefault="0040363B" w:rsidP="0040363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Préstamo (+) / endeudamiento (-)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A3A5" w14:textId="00729972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-1,380.6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B43A" w14:textId="7AAB9C00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1,544.7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F341" w14:textId="439779FC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2,925.3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EAD1" w14:textId="2E09C663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-211.9</w:t>
            </w:r>
          </w:p>
        </w:tc>
      </w:tr>
      <w:tr w:rsidR="00844F46" w:rsidRPr="00844F46" w14:paraId="7640965D" w14:textId="77777777" w:rsidTr="002700BC">
        <w:trPr>
          <w:trHeight w:val="267"/>
          <w:jc w:val="center"/>
        </w:trPr>
        <w:tc>
          <w:tcPr>
            <w:tcW w:w="7213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F44D5" w14:textId="77777777" w:rsidR="00844F46" w:rsidRPr="00844F46" w:rsidRDefault="00844F46" w:rsidP="00844F46">
            <w:pPr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  <w:t>TRANSACCIONES EN ACTIVOS Y PASIVOS FINANCIEROS (FINANCIMIENTO)</w:t>
            </w:r>
          </w:p>
        </w:tc>
      </w:tr>
      <w:tr w:rsidR="0040363B" w:rsidRPr="00844F46" w14:paraId="41DD322B" w14:textId="77777777" w:rsidTr="002700BC">
        <w:trPr>
          <w:trHeight w:val="267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58B6" w14:textId="77777777" w:rsidR="0040363B" w:rsidRPr="00844F46" w:rsidRDefault="0040363B" w:rsidP="0040363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Adquisición neta de activos financieros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F962" w14:textId="7DDF9466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987.1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1872" w14:textId="7963FEE3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4,661.8</w:t>
            </w:r>
          </w:p>
        </w:tc>
        <w:tc>
          <w:tcPr>
            <w:tcW w:w="945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79D9" w14:textId="1AA76AC3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3,674.8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148A8" w14:textId="533A5B1E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372.3</w:t>
            </w:r>
          </w:p>
        </w:tc>
      </w:tr>
      <w:tr w:rsidR="0040363B" w:rsidRPr="00844F46" w14:paraId="05EDD2D3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6CFE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Billetes y monedas y depósitos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3028" w14:textId="574CE668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987.3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26E1" w14:textId="1B7193C0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4,662.7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4FFE" w14:textId="34541CCB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3,675.4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9D57" w14:textId="7914560F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372.3</w:t>
            </w:r>
          </w:p>
        </w:tc>
      </w:tr>
      <w:tr w:rsidR="0040363B" w:rsidRPr="00844F46" w14:paraId="2E39DE56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8F52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Préstamos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E5C6" w14:textId="6E1B2878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C47C" w14:textId="644CF484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-0.9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7DB9" w14:textId="6C94D63B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-0.6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F049" w14:textId="7C48A66D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244.5</w:t>
            </w:r>
          </w:p>
        </w:tc>
      </w:tr>
      <w:tr w:rsidR="0040363B" w:rsidRPr="00844F46" w14:paraId="4423D20A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5D76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Otros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6F00" w14:textId="5E663F89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4C02" w14:textId="07CAF6F5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D00D" w14:textId="52F5BAC6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6F12" w14:textId="20AF234C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</w:tr>
      <w:tr w:rsidR="0040363B" w:rsidRPr="00844F46" w14:paraId="3DCA0D3A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B4EE" w14:textId="77777777" w:rsidR="0040363B" w:rsidRPr="00844F46" w:rsidRDefault="0040363B" w:rsidP="0040363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Incurrimiento neto de pasivos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EC7F" w14:textId="198B540E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2,228.9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9C68" w14:textId="3AFF614B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5,927.5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F435" w14:textId="41356EDB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3,698.5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7875" w14:textId="78EE1B58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165.9</w:t>
            </w:r>
          </w:p>
        </w:tc>
      </w:tr>
      <w:tr w:rsidR="0040363B" w:rsidRPr="00844F46" w14:paraId="281921C4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330E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Títulos de deuda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506B" w14:textId="38934CFE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3,008.6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D26B" w14:textId="668560F1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6,764.3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1988" w14:textId="5BE7D24B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3,755.6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34E6" w14:textId="06701654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124.8</w:t>
            </w:r>
          </w:p>
        </w:tc>
      </w:tr>
      <w:tr w:rsidR="0040363B" w:rsidRPr="00844F46" w14:paraId="53E7A6A4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173F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Préstamos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AAD2" w14:textId="6B555A01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-779.7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1973" w14:textId="51146F15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-836.8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1E7B" w14:textId="5F39BD9A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-57.1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1605" w14:textId="35B73E02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7.3</w:t>
            </w:r>
          </w:p>
        </w:tc>
      </w:tr>
      <w:tr w:rsidR="0040363B" w:rsidRPr="00844F46" w14:paraId="5E73C6B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BFD6" w14:textId="77777777" w:rsidR="0040363B" w:rsidRPr="00844F46" w:rsidRDefault="0040363B" w:rsidP="0040363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Otros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61EA" w14:textId="1AF39FAF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1A82" w14:textId="6A97E004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D887" w14:textId="6271B5F9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6AB7" w14:textId="3A135626" w:rsidR="0040363B" w:rsidRPr="00844F46" w:rsidRDefault="0040363B" w:rsidP="0040363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</w:tr>
      <w:tr w:rsidR="0040363B" w:rsidRPr="00844F46" w14:paraId="3810DEE7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662E" w14:textId="77777777" w:rsidR="0040363B" w:rsidRPr="00844F46" w:rsidRDefault="0040363B" w:rsidP="0040363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Discrepancia estadística global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AF8D" w14:textId="3AF43354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138.7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3A0F1" w14:textId="5BC27F90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-2,810.3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2CF9" w14:textId="7A9A51B8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-2,949.0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03C1" w14:textId="1F7D738F" w:rsidR="0040363B" w:rsidRPr="00844F46" w:rsidRDefault="0040363B" w:rsidP="0040363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-2,126.3</w:t>
            </w:r>
          </w:p>
        </w:tc>
      </w:tr>
    </w:tbl>
    <w:p w14:paraId="77198D96" w14:textId="50772757" w:rsidR="003C303F" w:rsidRPr="00AC1506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2A59A8D5" w14:textId="77777777" w:rsidR="003C303F" w:rsidRPr="00BF230D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sectPr w:rsidR="003C303F" w:rsidRPr="00BF230D" w:rsidSect="00D319A6">
      <w:type w:val="continuous"/>
      <w:pgSz w:w="12240" w:h="15840" w:code="1"/>
      <w:pgMar w:top="1418" w:right="1418" w:bottom="1418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47CD8" w14:textId="77777777" w:rsidR="008A0AC1" w:rsidRDefault="008A0AC1" w:rsidP="000B5E1C">
      <w:r>
        <w:separator/>
      </w:r>
    </w:p>
  </w:endnote>
  <w:endnote w:type="continuationSeparator" w:id="0">
    <w:p w14:paraId="10219862" w14:textId="77777777" w:rsidR="008A0AC1" w:rsidRDefault="008A0AC1" w:rsidP="000B5E1C">
      <w:r>
        <w:continuationSeparator/>
      </w:r>
    </w:p>
  </w:endnote>
  <w:endnote w:type="continuationNotice" w:id="1">
    <w:p w14:paraId="6355EB0F" w14:textId="77777777" w:rsidR="008A0AC1" w:rsidRDefault="008A0A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i/>
        <w:color w:val="1F497D" w:themeColor="text2"/>
        <w:lang w:val="es-ES"/>
      </w:rPr>
      <w:id w:val="1089358670"/>
      <w:docPartObj>
        <w:docPartGallery w:val="Page Numbers (Bottom of Page)"/>
        <w:docPartUnique/>
      </w:docPartObj>
    </w:sdtPr>
    <w:sdtEndPr/>
    <w:sdtContent>
      <w:p w14:paraId="37044282" w14:textId="3A7F539B" w:rsidR="008624C1" w:rsidRPr="00AC45C7" w:rsidRDefault="008624C1">
        <w:pPr>
          <w:pStyle w:val="Piedepgina"/>
          <w:jc w:val="right"/>
          <w:rPr>
            <w:rFonts w:cs="Times New Roman"/>
            <w:i/>
            <w:color w:val="1F497D" w:themeColor="text2"/>
          </w:rPr>
        </w:pPr>
        <w:r>
          <w:rPr>
            <w:rFonts w:cs="Times New Roman"/>
            <w:i/>
            <w:noProof/>
            <w:color w:val="1F497D" w:themeColor="text2"/>
            <w:lang w:eastAsia="es-G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B4743A9" wp14:editId="17FB757A">
                  <wp:simplePos x="0" y="0"/>
                  <wp:positionH relativeFrom="column">
                    <wp:posOffset>77580</wp:posOffset>
                  </wp:positionH>
                  <wp:positionV relativeFrom="paragraph">
                    <wp:posOffset>-58006</wp:posOffset>
                  </wp:positionV>
                  <wp:extent cx="6027089" cy="47708"/>
                  <wp:effectExtent l="0" t="0" r="12065" b="28575"/>
                  <wp:wrapNone/>
                  <wp:docPr id="43" name="43 Rectángul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27089" cy="4770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99000">
                                <a:schemeClr val="bg1">
                                  <a:lumMod val="95000"/>
                                </a:schemeClr>
                              </a:gs>
                              <a:gs pos="89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77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  <a:gs pos="89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41DDCE7D" id="43 Rectángulo" o:spid="_x0000_s1026" style="position:absolute;margin-left:6.1pt;margin-top:-4.55pt;width:474.55pt;height: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" fillcolor="#8aabd3 [2132]" strokeweight="2pt">
                  <v:fill color2="#f2f2f2 [3052]" rotate="t" angle="90" colors="0 #9ab5e4;50463f #c2d1ed;58327f #e1e8f5;64881f #f2f2f2" focus="100%" type="gradient">
                    <o:fill v:ext="view" type="gradientUnscaled"/>
                  </v:fill>
                </v:rect>
              </w:pict>
            </mc:Fallback>
          </mc:AlternateContent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Página | </w:t>
        </w:r>
        <w:r w:rsidRPr="00AC45C7">
          <w:rPr>
            <w:rFonts w:cs="Times New Roman"/>
            <w:i/>
            <w:color w:val="1F497D" w:themeColor="text2"/>
          </w:rPr>
          <w:fldChar w:fldCharType="begin"/>
        </w:r>
        <w:r w:rsidRPr="00AC45C7">
          <w:rPr>
            <w:rFonts w:cs="Times New Roman"/>
            <w:i/>
            <w:color w:val="1F497D" w:themeColor="text2"/>
          </w:rPr>
          <w:instrText>PAGE   \* MERGEFORMAT</w:instrText>
        </w:r>
        <w:r w:rsidRPr="00AC45C7">
          <w:rPr>
            <w:rFonts w:cs="Times New Roman"/>
            <w:i/>
            <w:color w:val="1F497D" w:themeColor="text2"/>
          </w:rPr>
          <w:fldChar w:fldCharType="separate"/>
        </w:r>
        <w:r w:rsidR="008863D0" w:rsidRPr="008863D0">
          <w:rPr>
            <w:rFonts w:cs="Times New Roman"/>
            <w:i/>
            <w:noProof/>
            <w:color w:val="1F497D" w:themeColor="text2"/>
            <w:lang w:val="es-ES"/>
          </w:rPr>
          <w:t>9</w:t>
        </w:r>
        <w:r w:rsidRPr="00AC45C7">
          <w:rPr>
            <w:rFonts w:cs="Times New Roman"/>
            <w:i/>
            <w:color w:val="1F497D" w:themeColor="text2"/>
          </w:rPr>
          <w:fldChar w:fldCharType="end"/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 </w:t>
        </w:r>
      </w:p>
    </w:sdtContent>
  </w:sdt>
  <w:p w14:paraId="39784CD2" w14:textId="557363E2" w:rsidR="008624C1" w:rsidRPr="00D5619D" w:rsidRDefault="008624C1" w:rsidP="003813F7">
    <w:pPr>
      <w:pStyle w:val="Piedepgina"/>
      <w:tabs>
        <w:tab w:val="clear" w:pos="8838"/>
        <w:tab w:val="left" w:pos="5173"/>
      </w:tabs>
      <w:rPr>
        <w:rFonts w:cs="Times New Roman"/>
        <w:i/>
        <w:color w:val="1F497D" w:themeColor="text2"/>
      </w:rPr>
    </w:pPr>
    <w:r w:rsidRPr="00D5619D">
      <w:rPr>
        <w:rFonts w:cs="Times New Roman"/>
        <w:i/>
        <w:color w:val="1F497D" w:themeColor="text2"/>
      </w:rPr>
      <w:t>Informe d</w:t>
    </w:r>
    <w:r>
      <w:rPr>
        <w:rFonts w:cs="Times New Roman"/>
        <w:i/>
        <w:color w:val="1F497D" w:themeColor="text2"/>
      </w:rPr>
      <w:t xml:space="preserve">e las Finanzas Públicas - </w:t>
    </w:r>
    <w:r w:rsidR="00071DD6">
      <w:rPr>
        <w:rFonts w:cs="Times New Roman"/>
        <w:i/>
        <w:color w:val="1F497D" w:themeColor="text2"/>
      </w:rPr>
      <w:t>Primer</w:t>
    </w:r>
    <w:r>
      <w:rPr>
        <w:rFonts w:cs="Times New Roman"/>
        <w:i/>
        <w:color w:val="1F497D" w:themeColor="text2"/>
      </w:rPr>
      <w:t xml:space="preserve"> Trimestre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7582" w14:textId="77777777" w:rsidR="008624C1" w:rsidRDefault="008624C1">
    <w:pPr>
      <w:pStyle w:val="Piedepgina"/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67F3FC" wp14:editId="2B07D3AE">
              <wp:simplePos x="0" y="0"/>
              <wp:positionH relativeFrom="column">
                <wp:posOffset>77580</wp:posOffset>
              </wp:positionH>
              <wp:positionV relativeFrom="paragraph">
                <wp:posOffset>-206568</wp:posOffset>
              </wp:positionV>
              <wp:extent cx="5931315" cy="47625"/>
              <wp:effectExtent l="0" t="0" r="12700" b="28575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1315" cy="476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4985944" id="45 Rectángulo" o:spid="_x0000_s1026" style="position:absolute;margin-left:6.1pt;margin-top:-16.25pt;width:467.05pt;height: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AAAEC" w14:textId="77777777" w:rsidR="008A0AC1" w:rsidRDefault="008A0AC1" w:rsidP="000B5E1C">
      <w:r>
        <w:separator/>
      </w:r>
    </w:p>
  </w:footnote>
  <w:footnote w:type="continuationSeparator" w:id="0">
    <w:p w14:paraId="65A43B56" w14:textId="77777777" w:rsidR="008A0AC1" w:rsidRDefault="008A0AC1" w:rsidP="000B5E1C">
      <w:r>
        <w:continuationSeparator/>
      </w:r>
    </w:p>
  </w:footnote>
  <w:footnote w:type="continuationNotice" w:id="1">
    <w:p w14:paraId="5B574C80" w14:textId="77777777" w:rsidR="008A0AC1" w:rsidRDefault="008A0A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444E" w14:textId="77777777" w:rsidR="008624C1" w:rsidRPr="00AC45C7" w:rsidRDefault="008624C1" w:rsidP="00AC45C7">
    <w:pPr>
      <w:pStyle w:val="Encabezado"/>
      <w:jc w:val="right"/>
      <w:rPr>
        <w:rFonts w:cs="Times New Roman"/>
        <w:i/>
        <w:color w:val="1F497D" w:themeColor="text2"/>
      </w:rPr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DEA52F" wp14:editId="4673C80D">
              <wp:simplePos x="0" y="0"/>
              <wp:positionH relativeFrom="column">
                <wp:posOffset>1421351</wp:posOffset>
              </wp:positionH>
              <wp:positionV relativeFrom="paragraph">
                <wp:posOffset>313110</wp:posOffset>
              </wp:positionV>
              <wp:extent cx="4683014" cy="45719"/>
              <wp:effectExtent l="0" t="0" r="22860" b="12065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83014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A5E1D87" id="44 Rectángulo" o:spid="_x0000_s1026" style="position:absolute;margin-left:111.9pt;margin-top:24.65pt;width:368.75pt;height:3.6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3" behindDoc="0" locked="0" layoutInCell="1" allowOverlap="1" wp14:anchorId="62CE7B9A" wp14:editId="2668BDD4">
          <wp:simplePos x="0" y="0"/>
          <wp:positionH relativeFrom="column">
            <wp:posOffset>-63611</wp:posOffset>
          </wp:positionH>
          <wp:positionV relativeFrom="paragraph">
            <wp:posOffset>-286882</wp:posOffset>
          </wp:positionV>
          <wp:extent cx="1598212" cy="723976"/>
          <wp:effectExtent l="0" t="0" r="2540" b="0"/>
          <wp:wrapNone/>
          <wp:docPr id="14" name="Imagen 14" descr="Resultado de imagen para gobierno de guatema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gobierno de guatemal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12" cy="72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5C7">
      <w:rPr>
        <w:rFonts w:cs="Times New Roman"/>
        <w:i/>
        <w:color w:val="1F497D" w:themeColor="text2"/>
      </w:rPr>
      <w:t>Dirección de Análisis y Política Fiscal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C581" w14:textId="01FEE6E9" w:rsidR="008624C1" w:rsidRPr="005329C2" w:rsidRDefault="008624C1" w:rsidP="00CB498E">
    <w:pPr>
      <w:pStyle w:val="Encabezado"/>
      <w:jc w:val="center"/>
      <w:rPr>
        <w:rFonts w:cs="Times New Roman"/>
        <w:i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160D"/>
    <w:multiLevelType w:val="hybridMultilevel"/>
    <w:tmpl w:val="5652F5FA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1A32CD"/>
    <w:multiLevelType w:val="hybridMultilevel"/>
    <w:tmpl w:val="6818CFE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E59"/>
    <w:multiLevelType w:val="hybridMultilevel"/>
    <w:tmpl w:val="F832278A"/>
    <w:lvl w:ilvl="0" w:tplc="4142F5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36B5"/>
    <w:multiLevelType w:val="hybridMultilevel"/>
    <w:tmpl w:val="02E2FB34"/>
    <w:lvl w:ilvl="0" w:tplc="2E82865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11248"/>
    <w:multiLevelType w:val="hybridMultilevel"/>
    <w:tmpl w:val="2E12EF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A2B56"/>
    <w:multiLevelType w:val="hybridMultilevel"/>
    <w:tmpl w:val="60DAF5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51372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E5232B"/>
    <w:multiLevelType w:val="hybridMultilevel"/>
    <w:tmpl w:val="E06C4B02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03721B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605102"/>
    <w:multiLevelType w:val="hybridMultilevel"/>
    <w:tmpl w:val="FEA4A058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B756652"/>
    <w:multiLevelType w:val="hybridMultilevel"/>
    <w:tmpl w:val="4C3CF3C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E5E3C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3D32D9"/>
    <w:multiLevelType w:val="hybridMultilevel"/>
    <w:tmpl w:val="D6B8F3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9C0"/>
    <w:multiLevelType w:val="hybridMultilevel"/>
    <w:tmpl w:val="92F073A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A7D94"/>
    <w:multiLevelType w:val="hybridMultilevel"/>
    <w:tmpl w:val="D4A449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24AD2"/>
    <w:multiLevelType w:val="multilevel"/>
    <w:tmpl w:val="0C0A0025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8E61988"/>
    <w:multiLevelType w:val="hybridMultilevel"/>
    <w:tmpl w:val="7D04A81C"/>
    <w:lvl w:ilvl="0" w:tplc="A1F83D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344CF8"/>
    <w:multiLevelType w:val="hybridMultilevel"/>
    <w:tmpl w:val="39F4D9A0"/>
    <w:lvl w:ilvl="0" w:tplc="10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88A822C4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0A663566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FC0AC50E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2F2C20D6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3D765614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D7B4C0EE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FFBC65E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7AD008E2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8" w15:restartNumberingAfterBreak="0">
    <w:nsid w:val="3F4E4675"/>
    <w:multiLevelType w:val="hybridMultilevel"/>
    <w:tmpl w:val="592A14C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878AD"/>
    <w:multiLevelType w:val="multilevel"/>
    <w:tmpl w:val="6BE6BB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23772FF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455B36"/>
    <w:multiLevelType w:val="hybridMultilevel"/>
    <w:tmpl w:val="2F9A9654"/>
    <w:lvl w:ilvl="0" w:tplc="DB6E85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87C29"/>
    <w:multiLevelType w:val="hybridMultilevel"/>
    <w:tmpl w:val="21D2FB3A"/>
    <w:lvl w:ilvl="0" w:tplc="100A0017">
      <w:start w:val="1"/>
      <w:numFmt w:val="lowerLetter"/>
      <w:lvlText w:val="%1)"/>
      <w:lvlJc w:val="left"/>
      <w:pPr>
        <w:ind w:left="1776" w:hanging="360"/>
      </w:p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23C077D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777B9E"/>
    <w:multiLevelType w:val="hybridMultilevel"/>
    <w:tmpl w:val="3F0047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A1421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741E90"/>
    <w:multiLevelType w:val="multilevel"/>
    <w:tmpl w:val="58DEA22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8B02801"/>
    <w:multiLevelType w:val="hybridMultilevel"/>
    <w:tmpl w:val="CDF2324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E5F78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403D22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E5754F"/>
    <w:multiLevelType w:val="hybridMultilevel"/>
    <w:tmpl w:val="66D0A5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A7293"/>
    <w:multiLevelType w:val="hybridMultilevel"/>
    <w:tmpl w:val="574693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B22BF"/>
    <w:multiLevelType w:val="hybridMultilevel"/>
    <w:tmpl w:val="7D0EE6BA"/>
    <w:lvl w:ilvl="0" w:tplc="FD3A4A7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E267F"/>
    <w:multiLevelType w:val="hybridMultilevel"/>
    <w:tmpl w:val="B18CB37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7D15BE"/>
    <w:multiLevelType w:val="multilevel"/>
    <w:tmpl w:val="E6A250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29C3A2A"/>
    <w:multiLevelType w:val="hybridMultilevel"/>
    <w:tmpl w:val="36860404"/>
    <w:lvl w:ilvl="0" w:tplc="46F0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0B6EE">
      <w:start w:val="8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3E46F8">
      <w:start w:val="8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BEB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28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20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6D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2E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0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3E5119"/>
    <w:multiLevelType w:val="hybridMultilevel"/>
    <w:tmpl w:val="D05E2C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5DA4"/>
    <w:multiLevelType w:val="hybridMultilevel"/>
    <w:tmpl w:val="E174D1C4"/>
    <w:lvl w:ilvl="0" w:tplc="80D27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7">
      <w:start w:val="1"/>
      <w:numFmt w:val="lowerLetter"/>
      <w:lvlText w:val="%2)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85C45"/>
    <w:multiLevelType w:val="hybridMultilevel"/>
    <w:tmpl w:val="0C14AC04"/>
    <w:lvl w:ilvl="0" w:tplc="100A0017">
      <w:start w:val="1"/>
      <w:numFmt w:val="lowerLetter"/>
      <w:lvlText w:val="%1)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5050691"/>
    <w:multiLevelType w:val="hybridMultilevel"/>
    <w:tmpl w:val="ED325860"/>
    <w:lvl w:ilvl="0" w:tplc="BDAE2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86473"/>
    <w:multiLevelType w:val="hybridMultilevel"/>
    <w:tmpl w:val="AFA85F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490913"/>
    <w:multiLevelType w:val="hybridMultilevel"/>
    <w:tmpl w:val="8D88FC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C208F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24"/>
  </w:num>
  <w:num w:numId="3">
    <w:abstractNumId w:val="13"/>
  </w:num>
  <w:num w:numId="4">
    <w:abstractNumId w:val="12"/>
  </w:num>
  <w:num w:numId="5">
    <w:abstractNumId w:val="30"/>
  </w:num>
  <w:num w:numId="6">
    <w:abstractNumId w:val="40"/>
  </w:num>
  <w:num w:numId="7">
    <w:abstractNumId w:val="31"/>
  </w:num>
  <w:num w:numId="8">
    <w:abstractNumId w:val="4"/>
  </w:num>
  <w:num w:numId="9">
    <w:abstractNumId w:val="3"/>
  </w:num>
  <w:num w:numId="10">
    <w:abstractNumId w:val="19"/>
  </w:num>
  <w:num w:numId="11">
    <w:abstractNumId w:val="20"/>
  </w:num>
  <w:num w:numId="12">
    <w:abstractNumId w:val="23"/>
  </w:num>
  <w:num w:numId="13">
    <w:abstractNumId w:val="32"/>
  </w:num>
  <w:num w:numId="14">
    <w:abstractNumId w:val="27"/>
  </w:num>
  <w:num w:numId="15">
    <w:abstractNumId w:val="7"/>
  </w:num>
  <w:num w:numId="16">
    <w:abstractNumId w:val="0"/>
  </w:num>
  <w:num w:numId="17">
    <w:abstractNumId w:val="17"/>
  </w:num>
  <w:num w:numId="18">
    <w:abstractNumId w:val="22"/>
  </w:num>
  <w:num w:numId="19">
    <w:abstractNumId w:val="35"/>
  </w:num>
  <w:num w:numId="20">
    <w:abstractNumId w:val="16"/>
  </w:num>
  <w:num w:numId="21">
    <w:abstractNumId w:val="37"/>
  </w:num>
  <w:num w:numId="22">
    <w:abstractNumId w:val="38"/>
  </w:num>
  <w:num w:numId="23">
    <w:abstractNumId w:val="15"/>
  </w:num>
  <w:num w:numId="24">
    <w:abstractNumId w:val="15"/>
  </w:num>
  <w:num w:numId="25">
    <w:abstractNumId w:val="9"/>
  </w:num>
  <w:num w:numId="26">
    <w:abstractNumId w:val="2"/>
  </w:num>
  <w:num w:numId="27">
    <w:abstractNumId w:val="36"/>
  </w:num>
  <w:num w:numId="28">
    <w:abstractNumId w:val="10"/>
  </w:num>
  <w:num w:numId="29">
    <w:abstractNumId w:val="14"/>
  </w:num>
  <w:num w:numId="30">
    <w:abstractNumId w:val="39"/>
  </w:num>
  <w:num w:numId="31">
    <w:abstractNumId w:val="1"/>
  </w:num>
  <w:num w:numId="32">
    <w:abstractNumId w:val="34"/>
  </w:num>
  <w:num w:numId="33">
    <w:abstractNumId w:val="41"/>
  </w:num>
  <w:num w:numId="34">
    <w:abstractNumId w:val="18"/>
  </w:num>
  <w:num w:numId="35">
    <w:abstractNumId w:val="11"/>
  </w:num>
  <w:num w:numId="36">
    <w:abstractNumId w:val="42"/>
  </w:num>
  <w:num w:numId="37">
    <w:abstractNumId w:val="33"/>
  </w:num>
  <w:num w:numId="38">
    <w:abstractNumId w:val="21"/>
  </w:num>
  <w:num w:numId="39">
    <w:abstractNumId w:val="29"/>
  </w:num>
  <w:num w:numId="40">
    <w:abstractNumId w:val="6"/>
  </w:num>
  <w:num w:numId="41">
    <w:abstractNumId w:val="25"/>
  </w:num>
  <w:num w:numId="42">
    <w:abstractNumId w:val="28"/>
  </w:num>
  <w:num w:numId="43">
    <w:abstractNumId w:val="8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98"/>
    <w:rsid w:val="000002AE"/>
    <w:rsid w:val="00000530"/>
    <w:rsid w:val="00000926"/>
    <w:rsid w:val="000013F6"/>
    <w:rsid w:val="0000165C"/>
    <w:rsid w:val="000019FB"/>
    <w:rsid w:val="00001B7A"/>
    <w:rsid w:val="00001ED4"/>
    <w:rsid w:val="000032AE"/>
    <w:rsid w:val="000038B1"/>
    <w:rsid w:val="00003BA5"/>
    <w:rsid w:val="000045FB"/>
    <w:rsid w:val="00005EB8"/>
    <w:rsid w:val="000073D2"/>
    <w:rsid w:val="00007F68"/>
    <w:rsid w:val="00010D58"/>
    <w:rsid w:val="000115A2"/>
    <w:rsid w:val="00012FB4"/>
    <w:rsid w:val="0001329E"/>
    <w:rsid w:val="00014246"/>
    <w:rsid w:val="0001429E"/>
    <w:rsid w:val="00014EAD"/>
    <w:rsid w:val="00016CEF"/>
    <w:rsid w:val="00017D51"/>
    <w:rsid w:val="0002091B"/>
    <w:rsid w:val="00020F69"/>
    <w:rsid w:val="000212B0"/>
    <w:rsid w:val="00021FD5"/>
    <w:rsid w:val="00023981"/>
    <w:rsid w:val="00023ADD"/>
    <w:rsid w:val="00023DC8"/>
    <w:rsid w:val="00024DE4"/>
    <w:rsid w:val="00024FF6"/>
    <w:rsid w:val="00025456"/>
    <w:rsid w:val="0002670B"/>
    <w:rsid w:val="000267E3"/>
    <w:rsid w:val="00027A8F"/>
    <w:rsid w:val="000306FE"/>
    <w:rsid w:val="00031937"/>
    <w:rsid w:val="00031A96"/>
    <w:rsid w:val="00032230"/>
    <w:rsid w:val="00032B26"/>
    <w:rsid w:val="00033312"/>
    <w:rsid w:val="00033638"/>
    <w:rsid w:val="00033B15"/>
    <w:rsid w:val="00033DB1"/>
    <w:rsid w:val="000347FD"/>
    <w:rsid w:val="00035952"/>
    <w:rsid w:val="00035C14"/>
    <w:rsid w:val="00035E51"/>
    <w:rsid w:val="00036843"/>
    <w:rsid w:val="00042AA3"/>
    <w:rsid w:val="00044AF8"/>
    <w:rsid w:val="00045570"/>
    <w:rsid w:val="00045861"/>
    <w:rsid w:val="00046004"/>
    <w:rsid w:val="00046060"/>
    <w:rsid w:val="000476BB"/>
    <w:rsid w:val="000500D6"/>
    <w:rsid w:val="00051734"/>
    <w:rsid w:val="0005215A"/>
    <w:rsid w:val="00053AD6"/>
    <w:rsid w:val="00053F58"/>
    <w:rsid w:val="0005529E"/>
    <w:rsid w:val="00055D08"/>
    <w:rsid w:val="00057EB8"/>
    <w:rsid w:val="000617F8"/>
    <w:rsid w:val="00061975"/>
    <w:rsid w:val="00061E2E"/>
    <w:rsid w:val="00062CBA"/>
    <w:rsid w:val="00062E16"/>
    <w:rsid w:val="00063364"/>
    <w:rsid w:val="00063A1D"/>
    <w:rsid w:val="00063CB5"/>
    <w:rsid w:val="000642AF"/>
    <w:rsid w:val="0006477B"/>
    <w:rsid w:val="00064BA9"/>
    <w:rsid w:val="00064EA8"/>
    <w:rsid w:val="00065259"/>
    <w:rsid w:val="00065451"/>
    <w:rsid w:val="00065991"/>
    <w:rsid w:val="00066095"/>
    <w:rsid w:val="0006680E"/>
    <w:rsid w:val="00066CD1"/>
    <w:rsid w:val="00067741"/>
    <w:rsid w:val="00067B4A"/>
    <w:rsid w:val="00070108"/>
    <w:rsid w:val="00070552"/>
    <w:rsid w:val="000705C1"/>
    <w:rsid w:val="000707A3"/>
    <w:rsid w:val="00070899"/>
    <w:rsid w:val="00071109"/>
    <w:rsid w:val="00071810"/>
    <w:rsid w:val="00071B55"/>
    <w:rsid w:val="00071DD6"/>
    <w:rsid w:val="00072136"/>
    <w:rsid w:val="00072BAA"/>
    <w:rsid w:val="0007319D"/>
    <w:rsid w:val="000737A4"/>
    <w:rsid w:val="00074337"/>
    <w:rsid w:val="000754D5"/>
    <w:rsid w:val="00076415"/>
    <w:rsid w:val="00080F5E"/>
    <w:rsid w:val="00081A07"/>
    <w:rsid w:val="000823E4"/>
    <w:rsid w:val="00082E65"/>
    <w:rsid w:val="00083239"/>
    <w:rsid w:val="000836FF"/>
    <w:rsid w:val="0008380C"/>
    <w:rsid w:val="00083DEF"/>
    <w:rsid w:val="000846BE"/>
    <w:rsid w:val="00084748"/>
    <w:rsid w:val="000852BF"/>
    <w:rsid w:val="000858E9"/>
    <w:rsid w:val="00085E1C"/>
    <w:rsid w:val="0008619F"/>
    <w:rsid w:val="00086C6E"/>
    <w:rsid w:val="00087430"/>
    <w:rsid w:val="00087551"/>
    <w:rsid w:val="0008775B"/>
    <w:rsid w:val="00087EE1"/>
    <w:rsid w:val="00087EFB"/>
    <w:rsid w:val="00090202"/>
    <w:rsid w:val="00090AF4"/>
    <w:rsid w:val="00091A7F"/>
    <w:rsid w:val="00092A19"/>
    <w:rsid w:val="00093A1B"/>
    <w:rsid w:val="00094A23"/>
    <w:rsid w:val="0009511C"/>
    <w:rsid w:val="00096497"/>
    <w:rsid w:val="00096FA6"/>
    <w:rsid w:val="00097862"/>
    <w:rsid w:val="000A2D14"/>
    <w:rsid w:val="000A2D19"/>
    <w:rsid w:val="000A424A"/>
    <w:rsid w:val="000A47FE"/>
    <w:rsid w:val="000A5FC5"/>
    <w:rsid w:val="000A60A1"/>
    <w:rsid w:val="000A74BA"/>
    <w:rsid w:val="000A7E28"/>
    <w:rsid w:val="000B057B"/>
    <w:rsid w:val="000B0FCB"/>
    <w:rsid w:val="000B12F0"/>
    <w:rsid w:val="000B1C5F"/>
    <w:rsid w:val="000B2992"/>
    <w:rsid w:val="000B29FE"/>
    <w:rsid w:val="000B2E7A"/>
    <w:rsid w:val="000B346C"/>
    <w:rsid w:val="000B404E"/>
    <w:rsid w:val="000B4083"/>
    <w:rsid w:val="000B4154"/>
    <w:rsid w:val="000B46D9"/>
    <w:rsid w:val="000B5E1C"/>
    <w:rsid w:val="000B6143"/>
    <w:rsid w:val="000B6B1B"/>
    <w:rsid w:val="000B76E1"/>
    <w:rsid w:val="000B778D"/>
    <w:rsid w:val="000C0470"/>
    <w:rsid w:val="000C070B"/>
    <w:rsid w:val="000C1B89"/>
    <w:rsid w:val="000C1CC5"/>
    <w:rsid w:val="000C1F8D"/>
    <w:rsid w:val="000C25EB"/>
    <w:rsid w:val="000C3476"/>
    <w:rsid w:val="000C3496"/>
    <w:rsid w:val="000C3E95"/>
    <w:rsid w:val="000C4AD1"/>
    <w:rsid w:val="000C51BD"/>
    <w:rsid w:val="000C54D3"/>
    <w:rsid w:val="000C5BA6"/>
    <w:rsid w:val="000C5BDD"/>
    <w:rsid w:val="000C7076"/>
    <w:rsid w:val="000C795B"/>
    <w:rsid w:val="000C7E9B"/>
    <w:rsid w:val="000D1059"/>
    <w:rsid w:val="000D17AF"/>
    <w:rsid w:val="000D2677"/>
    <w:rsid w:val="000D2952"/>
    <w:rsid w:val="000D29F4"/>
    <w:rsid w:val="000D2D05"/>
    <w:rsid w:val="000D2DE9"/>
    <w:rsid w:val="000D2DF6"/>
    <w:rsid w:val="000D2F4D"/>
    <w:rsid w:val="000D3566"/>
    <w:rsid w:val="000D365F"/>
    <w:rsid w:val="000D4B4D"/>
    <w:rsid w:val="000D58D6"/>
    <w:rsid w:val="000D734F"/>
    <w:rsid w:val="000D7477"/>
    <w:rsid w:val="000E058F"/>
    <w:rsid w:val="000E0DAA"/>
    <w:rsid w:val="000E1495"/>
    <w:rsid w:val="000E193E"/>
    <w:rsid w:val="000E3036"/>
    <w:rsid w:val="000E3B60"/>
    <w:rsid w:val="000E3BAE"/>
    <w:rsid w:val="000E3E7A"/>
    <w:rsid w:val="000E488C"/>
    <w:rsid w:val="000E51BC"/>
    <w:rsid w:val="000E5997"/>
    <w:rsid w:val="000E5D0D"/>
    <w:rsid w:val="000E60F8"/>
    <w:rsid w:val="000E7209"/>
    <w:rsid w:val="000F058D"/>
    <w:rsid w:val="000F0DA3"/>
    <w:rsid w:val="000F1214"/>
    <w:rsid w:val="000F19C1"/>
    <w:rsid w:val="000F2939"/>
    <w:rsid w:val="000F3450"/>
    <w:rsid w:val="000F41CA"/>
    <w:rsid w:val="000F4F51"/>
    <w:rsid w:val="000F53ED"/>
    <w:rsid w:val="000F62DA"/>
    <w:rsid w:val="00101A90"/>
    <w:rsid w:val="00101FE5"/>
    <w:rsid w:val="001023B3"/>
    <w:rsid w:val="00103354"/>
    <w:rsid w:val="00103E94"/>
    <w:rsid w:val="001043AB"/>
    <w:rsid w:val="001057E4"/>
    <w:rsid w:val="00105EBF"/>
    <w:rsid w:val="001068D2"/>
    <w:rsid w:val="00106959"/>
    <w:rsid w:val="00106EF4"/>
    <w:rsid w:val="0010734F"/>
    <w:rsid w:val="00107432"/>
    <w:rsid w:val="00107A66"/>
    <w:rsid w:val="00107D8A"/>
    <w:rsid w:val="001100B3"/>
    <w:rsid w:val="00110318"/>
    <w:rsid w:val="001107CB"/>
    <w:rsid w:val="001111A3"/>
    <w:rsid w:val="00111626"/>
    <w:rsid w:val="00111D58"/>
    <w:rsid w:val="00112A52"/>
    <w:rsid w:val="00112EB2"/>
    <w:rsid w:val="00113A1E"/>
    <w:rsid w:val="00113D53"/>
    <w:rsid w:val="00114083"/>
    <w:rsid w:val="001142BF"/>
    <w:rsid w:val="00114548"/>
    <w:rsid w:val="00114555"/>
    <w:rsid w:val="001147A1"/>
    <w:rsid w:val="00115772"/>
    <w:rsid w:val="00115AE0"/>
    <w:rsid w:val="00116127"/>
    <w:rsid w:val="00121349"/>
    <w:rsid w:val="001214B6"/>
    <w:rsid w:val="00121649"/>
    <w:rsid w:val="00121A26"/>
    <w:rsid w:val="00122F2F"/>
    <w:rsid w:val="00122FDE"/>
    <w:rsid w:val="0012357F"/>
    <w:rsid w:val="00123CB6"/>
    <w:rsid w:val="0012656D"/>
    <w:rsid w:val="00126E0E"/>
    <w:rsid w:val="0012763E"/>
    <w:rsid w:val="001276C3"/>
    <w:rsid w:val="0012783A"/>
    <w:rsid w:val="00127FBD"/>
    <w:rsid w:val="00130BCE"/>
    <w:rsid w:val="001313C1"/>
    <w:rsid w:val="00131669"/>
    <w:rsid w:val="00131D6C"/>
    <w:rsid w:val="00131D79"/>
    <w:rsid w:val="00132DC4"/>
    <w:rsid w:val="00133083"/>
    <w:rsid w:val="00134770"/>
    <w:rsid w:val="0013499D"/>
    <w:rsid w:val="00135308"/>
    <w:rsid w:val="001359D4"/>
    <w:rsid w:val="00135FB7"/>
    <w:rsid w:val="00136243"/>
    <w:rsid w:val="001401B1"/>
    <w:rsid w:val="001408F3"/>
    <w:rsid w:val="00141216"/>
    <w:rsid w:val="0014161C"/>
    <w:rsid w:val="00143578"/>
    <w:rsid w:val="001440DB"/>
    <w:rsid w:val="00145AE6"/>
    <w:rsid w:val="0014637C"/>
    <w:rsid w:val="00146B11"/>
    <w:rsid w:val="00146C6D"/>
    <w:rsid w:val="00146E1A"/>
    <w:rsid w:val="001470BF"/>
    <w:rsid w:val="001479E4"/>
    <w:rsid w:val="00147A6B"/>
    <w:rsid w:val="00147BFA"/>
    <w:rsid w:val="001500AB"/>
    <w:rsid w:val="001504EE"/>
    <w:rsid w:val="00150748"/>
    <w:rsid w:val="00151A60"/>
    <w:rsid w:val="0015275F"/>
    <w:rsid w:val="00152BD7"/>
    <w:rsid w:val="00153B8C"/>
    <w:rsid w:val="00153D01"/>
    <w:rsid w:val="00154AFD"/>
    <w:rsid w:val="0015532C"/>
    <w:rsid w:val="001559F9"/>
    <w:rsid w:val="00157E39"/>
    <w:rsid w:val="001604DC"/>
    <w:rsid w:val="001604E9"/>
    <w:rsid w:val="001605C0"/>
    <w:rsid w:val="00160BA5"/>
    <w:rsid w:val="001610AF"/>
    <w:rsid w:val="0016130F"/>
    <w:rsid w:val="001613DC"/>
    <w:rsid w:val="001623FA"/>
    <w:rsid w:val="001628C8"/>
    <w:rsid w:val="00162970"/>
    <w:rsid w:val="0016346E"/>
    <w:rsid w:val="00163B12"/>
    <w:rsid w:val="00163DED"/>
    <w:rsid w:val="0016414B"/>
    <w:rsid w:val="00164250"/>
    <w:rsid w:val="00164331"/>
    <w:rsid w:val="001650AC"/>
    <w:rsid w:val="00166CE0"/>
    <w:rsid w:val="001674F6"/>
    <w:rsid w:val="00167B5B"/>
    <w:rsid w:val="00167C01"/>
    <w:rsid w:val="001703DF"/>
    <w:rsid w:val="001708EB"/>
    <w:rsid w:val="001718B6"/>
    <w:rsid w:val="00173790"/>
    <w:rsid w:val="00173979"/>
    <w:rsid w:val="00175199"/>
    <w:rsid w:val="00175DBD"/>
    <w:rsid w:val="001765BE"/>
    <w:rsid w:val="00177A7B"/>
    <w:rsid w:val="00180579"/>
    <w:rsid w:val="00181AC7"/>
    <w:rsid w:val="00181E8C"/>
    <w:rsid w:val="001822D3"/>
    <w:rsid w:val="00182971"/>
    <w:rsid w:val="00182B79"/>
    <w:rsid w:val="00182E81"/>
    <w:rsid w:val="001832CB"/>
    <w:rsid w:val="001838CB"/>
    <w:rsid w:val="00183D01"/>
    <w:rsid w:val="00183EF6"/>
    <w:rsid w:val="00184554"/>
    <w:rsid w:val="00184930"/>
    <w:rsid w:val="00186ACF"/>
    <w:rsid w:val="00190258"/>
    <w:rsid w:val="001906F4"/>
    <w:rsid w:val="00190C51"/>
    <w:rsid w:val="0019223F"/>
    <w:rsid w:val="00192264"/>
    <w:rsid w:val="00193413"/>
    <w:rsid w:val="00193495"/>
    <w:rsid w:val="00193F01"/>
    <w:rsid w:val="00196269"/>
    <w:rsid w:val="00196B0B"/>
    <w:rsid w:val="00197631"/>
    <w:rsid w:val="001979A1"/>
    <w:rsid w:val="001A0005"/>
    <w:rsid w:val="001A00C9"/>
    <w:rsid w:val="001A1804"/>
    <w:rsid w:val="001A1D21"/>
    <w:rsid w:val="001A1E5E"/>
    <w:rsid w:val="001A2E9A"/>
    <w:rsid w:val="001A30CA"/>
    <w:rsid w:val="001A3807"/>
    <w:rsid w:val="001A3DAA"/>
    <w:rsid w:val="001A4726"/>
    <w:rsid w:val="001A47B1"/>
    <w:rsid w:val="001A4D7B"/>
    <w:rsid w:val="001A5253"/>
    <w:rsid w:val="001A683F"/>
    <w:rsid w:val="001A708A"/>
    <w:rsid w:val="001A70BA"/>
    <w:rsid w:val="001A7138"/>
    <w:rsid w:val="001A7605"/>
    <w:rsid w:val="001A7B54"/>
    <w:rsid w:val="001A7B66"/>
    <w:rsid w:val="001B0B04"/>
    <w:rsid w:val="001B0E2C"/>
    <w:rsid w:val="001B1571"/>
    <w:rsid w:val="001B1821"/>
    <w:rsid w:val="001B21B7"/>
    <w:rsid w:val="001B285E"/>
    <w:rsid w:val="001B2958"/>
    <w:rsid w:val="001B29CF"/>
    <w:rsid w:val="001B2B19"/>
    <w:rsid w:val="001B2E72"/>
    <w:rsid w:val="001B3A8F"/>
    <w:rsid w:val="001B3C43"/>
    <w:rsid w:val="001B423D"/>
    <w:rsid w:val="001B4D15"/>
    <w:rsid w:val="001B55B2"/>
    <w:rsid w:val="001B61DF"/>
    <w:rsid w:val="001B6D43"/>
    <w:rsid w:val="001B71EE"/>
    <w:rsid w:val="001B7BC8"/>
    <w:rsid w:val="001C0194"/>
    <w:rsid w:val="001C0450"/>
    <w:rsid w:val="001C19CB"/>
    <w:rsid w:val="001C1B0B"/>
    <w:rsid w:val="001C1F0C"/>
    <w:rsid w:val="001C29A0"/>
    <w:rsid w:val="001C2E49"/>
    <w:rsid w:val="001C34B5"/>
    <w:rsid w:val="001C3E21"/>
    <w:rsid w:val="001C55F6"/>
    <w:rsid w:val="001C5F1C"/>
    <w:rsid w:val="001C6301"/>
    <w:rsid w:val="001C677D"/>
    <w:rsid w:val="001C7576"/>
    <w:rsid w:val="001C788D"/>
    <w:rsid w:val="001D0130"/>
    <w:rsid w:val="001D016C"/>
    <w:rsid w:val="001D1A94"/>
    <w:rsid w:val="001D1C90"/>
    <w:rsid w:val="001D1C9B"/>
    <w:rsid w:val="001D2C47"/>
    <w:rsid w:val="001D41AC"/>
    <w:rsid w:val="001D4B18"/>
    <w:rsid w:val="001D54E4"/>
    <w:rsid w:val="001E06F3"/>
    <w:rsid w:val="001E0870"/>
    <w:rsid w:val="001E0EF9"/>
    <w:rsid w:val="001E130A"/>
    <w:rsid w:val="001E1AAB"/>
    <w:rsid w:val="001E3041"/>
    <w:rsid w:val="001E331B"/>
    <w:rsid w:val="001E4277"/>
    <w:rsid w:val="001E4C34"/>
    <w:rsid w:val="001E4D39"/>
    <w:rsid w:val="001E4E3D"/>
    <w:rsid w:val="001E5588"/>
    <w:rsid w:val="001E5D28"/>
    <w:rsid w:val="001E62DA"/>
    <w:rsid w:val="001E7182"/>
    <w:rsid w:val="001E71BF"/>
    <w:rsid w:val="001F07B8"/>
    <w:rsid w:val="001F135F"/>
    <w:rsid w:val="001F1968"/>
    <w:rsid w:val="001F1BB6"/>
    <w:rsid w:val="001F25FC"/>
    <w:rsid w:val="001F2E5B"/>
    <w:rsid w:val="001F3668"/>
    <w:rsid w:val="001F3B9A"/>
    <w:rsid w:val="001F3D1E"/>
    <w:rsid w:val="001F43AE"/>
    <w:rsid w:val="001F488D"/>
    <w:rsid w:val="001F5A10"/>
    <w:rsid w:val="001F67A2"/>
    <w:rsid w:val="001F7025"/>
    <w:rsid w:val="001F71DC"/>
    <w:rsid w:val="001F742E"/>
    <w:rsid w:val="002005A3"/>
    <w:rsid w:val="002005AD"/>
    <w:rsid w:val="00201159"/>
    <w:rsid w:val="0020195F"/>
    <w:rsid w:val="00201C51"/>
    <w:rsid w:val="00201CD8"/>
    <w:rsid w:val="00203326"/>
    <w:rsid w:val="00203672"/>
    <w:rsid w:val="002043B3"/>
    <w:rsid w:val="00205055"/>
    <w:rsid w:val="00205BCA"/>
    <w:rsid w:val="0020607F"/>
    <w:rsid w:val="00206BA3"/>
    <w:rsid w:val="00206DBE"/>
    <w:rsid w:val="0020712A"/>
    <w:rsid w:val="002072B5"/>
    <w:rsid w:val="00210CD5"/>
    <w:rsid w:val="00211AE8"/>
    <w:rsid w:val="0021268B"/>
    <w:rsid w:val="002131CF"/>
    <w:rsid w:val="002131FE"/>
    <w:rsid w:val="00213435"/>
    <w:rsid w:val="0021423B"/>
    <w:rsid w:val="002147BD"/>
    <w:rsid w:val="00214947"/>
    <w:rsid w:val="00216846"/>
    <w:rsid w:val="0021699A"/>
    <w:rsid w:val="00216FC2"/>
    <w:rsid w:val="002171B6"/>
    <w:rsid w:val="0021724C"/>
    <w:rsid w:val="00217D1E"/>
    <w:rsid w:val="00220281"/>
    <w:rsid w:val="0022065E"/>
    <w:rsid w:val="00222586"/>
    <w:rsid w:val="00222AA5"/>
    <w:rsid w:val="0022319A"/>
    <w:rsid w:val="00225339"/>
    <w:rsid w:val="00225C31"/>
    <w:rsid w:val="002272A3"/>
    <w:rsid w:val="002303FC"/>
    <w:rsid w:val="00230F64"/>
    <w:rsid w:val="0023226A"/>
    <w:rsid w:val="00232937"/>
    <w:rsid w:val="0023357F"/>
    <w:rsid w:val="002338A1"/>
    <w:rsid w:val="002338DE"/>
    <w:rsid w:val="00234118"/>
    <w:rsid w:val="00234332"/>
    <w:rsid w:val="0023437E"/>
    <w:rsid w:val="00235297"/>
    <w:rsid w:val="002352FA"/>
    <w:rsid w:val="00235A61"/>
    <w:rsid w:val="00235C4F"/>
    <w:rsid w:val="00236A70"/>
    <w:rsid w:val="0023749B"/>
    <w:rsid w:val="002375A0"/>
    <w:rsid w:val="00241428"/>
    <w:rsid w:val="00241AC2"/>
    <w:rsid w:val="00241DF5"/>
    <w:rsid w:val="00242D1F"/>
    <w:rsid w:val="00243641"/>
    <w:rsid w:val="00243DA8"/>
    <w:rsid w:val="002440D9"/>
    <w:rsid w:val="00244A1B"/>
    <w:rsid w:val="002451BB"/>
    <w:rsid w:val="002457E2"/>
    <w:rsid w:val="00245D53"/>
    <w:rsid w:val="002470D4"/>
    <w:rsid w:val="00250EA9"/>
    <w:rsid w:val="00250FD6"/>
    <w:rsid w:val="0025123E"/>
    <w:rsid w:val="0025146C"/>
    <w:rsid w:val="00251A72"/>
    <w:rsid w:val="00251F21"/>
    <w:rsid w:val="00252321"/>
    <w:rsid w:val="00252AFC"/>
    <w:rsid w:val="00252B1C"/>
    <w:rsid w:val="00253436"/>
    <w:rsid w:val="00253CD8"/>
    <w:rsid w:val="002551BA"/>
    <w:rsid w:val="00255FBE"/>
    <w:rsid w:val="002569AC"/>
    <w:rsid w:val="00261B47"/>
    <w:rsid w:val="00261DEB"/>
    <w:rsid w:val="002628E1"/>
    <w:rsid w:val="002634CC"/>
    <w:rsid w:val="00263E10"/>
    <w:rsid w:val="00264074"/>
    <w:rsid w:val="00264727"/>
    <w:rsid w:val="00264A75"/>
    <w:rsid w:val="00264DDD"/>
    <w:rsid w:val="00264E6D"/>
    <w:rsid w:val="00266132"/>
    <w:rsid w:val="0026632E"/>
    <w:rsid w:val="002663D9"/>
    <w:rsid w:val="00266606"/>
    <w:rsid w:val="00267193"/>
    <w:rsid w:val="00267974"/>
    <w:rsid w:val="002700BC"/>
    <w:rsid w:val="002706F9"/>
    <w:rsid w:val="002710C2"/>
    <w:rsid w:val="00271377"/>
    <w:rsid w:val="00271558"/>
    <w:rsid w:val="00272ED5"/>
    <w:rsid w:val="0027445C"/>
    <w:rsid w:val="0027513B"/>
    <w:rsid w:val="00275731"/>
    <w:rsid w:val="00275E3C"/>
    <w:rsid w:val="00276BE8"/>
    <w:rsid w:val="00276CEB"/>
    <w:rsid w:val="0027790A"/>
    <w:rsid w:val="002808AA"/>
    <w:rsid w:val="002809B2"/>
    <w:rsid w:val="002813A3"/>
    <w:rsid w:val="002813C1"/>
    <w:rsid w:val="0028215F"/>
    <w:rsid w:val="00282253"/>
    <w:rsid w:val="0028329E"/>
    <w:rsid w:val="0028395D"/>
    <w:rsid w:val="0028513C"/>
    <w:rsid w:val="002851AE"/>
    <w:rsid w:val="002860D8"/>
    <w:rsid w:val="00286939"/>
    <w:rsid w:val="00286B2D"/>
    <w:rsid w:val="0028717E"/>
    <w:rsid w:val="00287315"/>
    <w:rsid w:val="0029111B"/>
    <w:rsid w:val="00292383"/>
    <w:rsid w:val="00292CFB"/>
    <w:rsid w:val="00293196"/>
    <w:rsid w:val="002948C9"/>
    <w:rsid w:val="00294990"/>
    <w:rsid w:val="00294F15"/>
    <w:rsid w:val="00295600"/>
    <w:rsid w:val="002968B3"/>
    <w:rsid w:val="002968F0"/>
    <w:rsid w:val="00296DF9"/>
    <w:rsid w:val="00297B84"/>
    <w:rsid w:val="00297EA1"/>
    <w:rsid w:val="002A06CC"/>
    <w:rsid w:val="002A0AB8"/>
    <w:rsid w:val="002A0E66"/>
    <w:rsid w:val="002A26FE"/>
    <w:rsid w:val="002A5BBD"/>
    <w:rsid w:val="002A60BD"/>
    <w:rsid w:val="002B209D"/>
    <w:rsid w:val="002B2273"/>
    <w:rsid w:val="002B2B84"/>
    <w:rsid w:val="002B2D17"/>
    <w:rsid w:val="002B4EDF"/>
    <w:rsid w:val="002B4F4E"/>
    <w:rsid w:val="002B5F1D"/>
    <w:rsid w:val="002B6254"/>
    <w:rsid w:val="002B650E"/>
    <w:rsid w:val="002B69F7"/>
    <w:rsid w:val="002B6CF8"/>
    <w:rsid w:val="002B716A"/>
    <w:rsid w:val="002B7931"/>
    <w:rsid w:val="002B7AC2"/>
    <w:rsid w:val="002C0E86"/>
    <w:rsid w:val="002C1DC7"/>
    <w:rsid w:val="002C2027"/>
    <w:rsid w:val="002C2A89"/>
    <w:rsid w:val="002C3498"/>
    <w:rsid w:val="002C3671"/>
    <w:rsid w:val="002C3755"/>
    <w:rsid w:val="002C53CC"/>
    <w:rsid w:val="002C64A2"/>
    <w:rsid w:val="002C7FB8"/>
    <w:rsid w:val="002D03CF"/>
    <w:rsid w:val="002D05A5"/>
    <w:rsid w:val="002D0BE6"/>
    <w:rsid w:val="002D1182"/>
    <w:rsid w:val="002D1469"/>
    <w:rsid w:val="002D1E9B"/>
    <w:rsid w:val="002D32C9"/>
    <w:rsid w:val="002D4A52"/>
    <w:rsid w:val="002D4AEA"/>
    <w:rsid w:val="002D5151"/>
    <w:rsid w:val="002D5DEA"/>
    <w:rsid w:val="002D72BD"/>
    <w:rsid w:val="002D7A60"/>
    <w:rsid w:val="002D7AF6"/>
    <w:rsid w:val="002E0416"/>
    <w:rsid w:val="002E109C"/>
    <w:rsid w:val="002E1E22"/>
    <w:rsid w:val="002E2221"/>
    <w:rsid w:val="002E2298"/>
    <w:rsid w:val="002E2437"/>
    <w:rsid w:val="002E2464"/>
    <w:rsid w:val="002E30D7"/>
    <w:rsid w:val="002E350E"/>
    <w:rsid w:val="002E3C2D"/>
    <w:rsid w:val="002E3F7A"/>
    <w:rsid w:val="002E4264"/>
    <w:rsid w:val="002E46A5"/>
    <w:rsid w:val="002E5F7F"/>
    <w:rsid w:val="002E652B"/>
    <w:rsid w:val="002E7051"/>
    <w:rsid w:val="002E7C22"/>
    <w:rsid w:val="002F0480"/>
    <w:rsid w:val="002F07A8"/>
    <w:rsid w:val="002F1822"/>
    <w:rsid w:val="002F1A09"/>
    <w:rsid w:val="002F2FB3"/>
    <w:rsid w:val="002F347E"/>
    <w:rsid w:val="002F3D03"/>
    <w:rsid w:val="002F618C"/>
    <w:rsid w:val="002F6611"/>
    <w:rsid w:val="002F6BD4"/>
    <w:rsid w:val="002F7F6F"/>
    <w:rsid w:val="003000C2"/>
    <w:rsid w:val="003007BE"/>
    <w:rsid w:val="003009C9"/>
    <w:rsid w:val="00300A50"/>
    <w:rsid w:val="00300F2D"/>
    <w:rsid w:val="00301F9F"/>
    <w:rsid w:val="00302462"/>
    <w:rsid w:val="00302603"/>
    <w:rsid w:val="00302799"/>
    <w:rsid w:val="00302EF9"/>
    <w:rsid w:val="00303787"/>
    <w:rsid w:val="00303B1F"/>
    <w:rsid w:val="003044D2"/>
    <w:rsid w:val="00304996"/>
    <w:rsid w:val="00304B36"/>
    <w:rsid w:val="0030676A"/>
    <w:rsid w:val="00306802"/>
    <w:rsid w:val="00307581"/>
    <w:rsid w:val="0030772A"/>
    <w:rsid w:val="00307D21"/>
    <w:rsid w:val="00310612"/>
    <w:rsid w:val="0031062A"/>
    <w:rsid w:val="00310F0E"/>
    <w:rsid w:val="00311363"/>
    <w:rsid w:val="0031152E"/>
    <w:rsid w:val="00311D47"/>
    <w:rsid w:val="003126A5"/>
    <w:rsid w:val="00313249"/>
    <w:rsid w:val="00313EDC"/>
    <w:rsid w:val="00314383"/>
    <w:rsid w:val="003143B8"/>
    <w:rsid w:val="00316717"/>
    <w:rsid w:val="0032156A"/>
    <w:rsid w:val="0032216F"/>
    <w:rsid w:val="0032255F"/>
    <w:rsid w:val="00323314"/>
    <w:rsid w:val="00323933"/>
    <w:rsid w:val="003241D8"/>
    <w:rsid w:val="00324705"/>
    <w:rsid w:val="00324F52"/>
    <w:rsid w:val="0032588B"/>
    <w:rsid w:val="00325C52"/>
    <w:rsid w:val="00325EC5"/>
    <w:rsid w:val="00326351"/>
    <w:rsid w:val="00327EE2"/>
    <w:rsid w:val="00330C82"/>
    <w:rsid w:val="0033184E"/>
    <w:rsid w:val="00331A35"/>
    <w:rsid w:val="00331C73"/>
    <w:rsid w:val="00332E4E"/>
    <w:rsid w:val="00333574"/>
    <w:rsid w:val="00333809"/>
    <w:rsid w:val="00333816"/>
    <w:rsid w:val="003338F1"/>
    <w:rsid w:val="00333F4D"/>
    <w:rsid w:val="003359FE"/>
    <w:rsid w:val="00335BDB"/>
    <w:rsid w:val="00336EDF"/>
    <w:rsid w:val="00337496"/>
    <w:rsid w:val="003375C1"/>
    <w:rsid w:val="0034043A"/>
    <w:rsid w:val="00340E13"/>
    <w:rsid w:val="0034386E"/>
    <w:rsid w:val="00343934"/>
    <w:rsid w:val="00343A1D"/>
    <w:rsid w:val="00343A8A"/>
    <w:rsid w:val="00344278"/>
    <w:rsid w:val="003442AD"/>
    <w:rsid w:val="003465C8"/>
    <w:rsid w:val="00347243"/>
    <w:rsid w:val="00347377"/>
    <w:rsid w:val="0034753C"/>
    <w:rsid w:val="00353B7E"/>
    <w:rsid w:val="00353F26"/>
    <w:rsid w:val="00354481"/>
    <w:rsid w:val="00355113"/>
    <w:rsid w:val="00355234"/>
    <w:rsid w:val="003554AC"/>
    <w:rsid w:val="00355C36"/>
    <w:rsid w:val="00356F7F"/>
    <w:rsid w:val="00357B90"/>
    <w:rsid w:val="00357F5B"/>
    <w:rsid w:val="003605B6"/>
    <w:rsid w:val="00361010"/>
    <w:rsid w:val="0036217B"/>
    <w:rsid w:val="00362357"/>
    <w:rsid w:val="003624FC"/>
    <w:rsid w:val="0036359B"/>
    <w:rsid w:val="00363B4C"/>
    <w:rsid w:val="00364844"/>
    <w:rsid w:val="00365DDD"/>
    <w:rsid w:val="00365DF5"/>
    <w:rsid w:val="00366C94"/>
    <w:rsid w:val="00366E5D"/>
    <w:rsid w:val="00366F3F"/>
    <w:rsid w:val="00367005"/>
    <w:rsid w:val="003673A2"/>
    <w:rsid w:val="00370528"/>
    <w:rsid w:val="00370859"/>
    <w:rsid w:val="0037183F"/>
    <w:rsid w:val="00371AEC"/>
    <w:rsid w:val="0037237D"/>
    <w:rsid w:val="00374654"/>
    <w:rsid w:val="00374C59"/>
    <w:rsid w:val="003754BA"/>
    <w:rsid w:val="003759A1"/>
    <w:rsid w:val="00375D21"/>
    <w:rsid w:val="00375EF5"/>
    <w:rsid w:val="003761C4"/>
    <w:rsid w:val="00376EE6"/>
    <w:rsid w:val="00377A1F"/>
    <w:rsid w:val="0038019E"/>
    <w:rsid w:val="00380981"/>
    <w:rsid w:val="003813F7"/>
    <w:rsid w:val="00381684"/>
    <w:rsid w:val="00382989"/>
    <w:rsid w:val="00382B21"/>
    <w:rsid w:val="00383208"/>
    <w:rsid w:val="003838A1"/>
    <w:rsid w:val="00383E04"/>
    <w:rsid w:val="003851C7"/>
    <w:rsid w:val="00385368"/>
    <w:rsid w:val="0038658E"/>
    <w:rsid w:val="00386DDA"/>
    <w:rsid w:val="00387A2B"/>
    <w:rsid w:val="00390510"/>
    <w:rsid w:val="00390BB4"/>
    <w:rsid w:val="003911A5"/>
    <w:rsid w:val="003920EF"/>
    <w:rsid w:val="00392346"/>
    <w:rsid w:val="003929E6"/>
    <w:rsid w:val="00393F94"/>
    <w:rsid w:val="00394899"/>
    <w:rsid w:val="00395462"/>
    <w:rsid w:val="00395C0B"/>
    <w:rsid w:val="0039614C"/>
    <w:rsid w:val="00396614"/>
    <w:rsid w:val="00397206"/>
    <w:rsid w:val="00397CEC"/>
    <w:rsid w:val="00397F09"/>
    <w:rsid w:val="003A02BE"/>
    <w:rsid w:val="003A08F6"/>
    <w:rsid w:val="003A17BD"/>
    <w:rsid w:val="003A1DF7"/>
    <w:rsid w:val="003A2B85"/>
    <w:rsid w:val="003A3942"/>
    <w:rsid w:val="003A3AEC"/>
    <w:rsid w:val="003A467D"/>
    <w:rsid w:val="003A6C1D"/>
    <w:rsid w:val="003A78F3"/>
    <w:rsid w:val="003B0400"/>
    <w:rsid w:val="003B2B5C"/>
    <w:rsid w:val="003B3287"/>
    <w:rsid w:val="003B3973"/>
    <w:rsid w:val="003B4217"/>
    <w:rsid w:val="003B4D0B"/>
    <w:rsid w:val="003B53AC"/>
    <w:rsid w:val="003B560F"/>
    <w:rsid w:val="003B6399"/>
    <w:rsid w:val="003C0D6A"/>
    <w:rsid w:val="003C0D7B"/>
    <w:rsid w:val="003C0FB9"/>
    <w:rsid w:val="003C168C"/>
    <w:rsid w:val="003C209A"/>
    <w:rsid w:val="003C20E0"/>
    <w:rsid w:val="003C2DD3"/>
    <w:rsid w:val="003C303F"/>
    <w:rsid w:val="003C338B"/>
    <w:rsid w:val="003C37F1"/>
    <w:rsid w:val="003C3951"/>
    <w:rsid w:val="003C3E6F"/>
    <w:rsid w:val="003C4D70"/>
    <w:rsid w:val="003C51D3"/>
    <w:rsid w:val="003C5975"/>
    <w:rsid w:val="003C5B61"/>
    <w:rsid w:val="003C64FF"/>
    <w:rsid w:val="003C773C"/>
    <w:rsid w:val="003D050C"/>
    <w:rsid w:val="003D1490"/>
    <w:rsid w:val="003D1F3C"/>
    <w:rsid w:val="003D234D"/>
    <w:rsid w:val="003D28F5"/>
    <w:rsid w:val="003D2ABD"/>
    <w:rsid w:val="003D2D1B"/>
    <w:rsid w:val="003D403A"/>
    <w:rsid w:val="003D48A2"/>
    <w:rsid w:val="003D6732"/>
    <w:rsid w:val="003D7250"/>
    <w:rsid w:val="003D76EE"/>
    <w:rsid w:val="003E0E2C"/>
    <w:rsid w:val="003E1A9F"/>
    <w:rsid w:val="003E1EE8"/>
    <w:rsid w:val="003E2AD9"/>
    <w:rsid w:val="003E32DE"/>
    <w:rsid w:val="003E3472"/>
    <w:rsid w:val="003E3E25"/>
    <w:rsid w:val="003E476E"/>
    <w:rsid w:val="003E49B2"/>
    <w:rsid w:val="003E5859"/>
    <w:rsid w:val="003E676B"/>
    <w:rsid w:val="003E69D1"/>
    <w:rsid w:val="003E788D"/>
    <w:rsid w:val="003E7939"/>
    <w:rsid w:val="003F0A79"/>
    <w:rsid w:val="003F2171"/>
    <w:rsid w:val="003F27C8"/>
    <w:rsid w:val="003F28D0"/>
    <w:rsid w:val="003F33E4"/>
    <w:rsid w:val="003F400E"/>
    <w:rsid w:val="003F40EE"/>
    <w:rsid w:val="003F46D5"/>
    <w:rsid w:val="003F5196"/>
    <w:rsid w:val="003F57B2"/>
    <w:rsid w:val="003F5841"/>
    <w:rsid w:val="003F5B5D"/>
    <w:rsid w:val="003F5C24"/>
    <w:rsid w:val="003F6C74"/>
    <w:rsid w:val="004007E5"/>
    <w:rsid w:val="0040274D"/>
    <w:rsid w:val="0040363B"/>
    <w:rsid w:val="0040414E"/>
    <w:rsid w:val="004045E7"/>
    <w:rsid w:val="00404BAB"/>
    <w:rsid w:val="004052A0"/>
    <w:rsid w:val="004056FD"/>
    <w:rsid w:val="00406A74"/>
    <w:rsid w:val="00407755"/>
    <w:rsid w:val="004077AD"/>
    <w:rsid w:val="0041001E"/>
    <w:rsid w:val="00410667"/>
    <w:rsid w:val="004108BE"/>
    <w:rsid w:val="00410F6A"/>
    <w:rsid w:val="0041288C"/>
    <w:rsid w:val="00414C97"/>
    <w:rsid w:val="004154AF"/>
    <w:rsid w:val="004157B9"/>
    <w:rsid w:val="00415CAA"/>
    <w:rsid w:val="00416C7D"/>
    <w:rsid w:val="00417111"/>
    <w:rsid w:val="00417DA6"/>
    <w:rsid w:val="004211BD"/>
    <w:rsid w:val="00421AD9"/>
    <w:rsid w:val="00422853"/>
    <w:rsid w:val="00422DD8"/>
    <w:rsid w:val="004234D4"/>
    <w:rsid w:val="00424BD7"/>
    <w:rsid w:val="00424DF0"/>
    <w:rsid w:val="0042558D"/>
    <w:rsid w:val="00425C8B"/>
    <w:rsid w:val="00425F4B"/>
    <w:rsid w:val="004279D0"/>
    <w:rsid w:val="00430BA3"/>
    <w:rsid w:val="0043129A"/>
    <w:rsid w:val="00431A01"/>
    <w:rsid w:val="00431B05"/>
    <w:rsid w:val="0043246F"/>
    <w:rsid w:val="00432E87"/>
    <w:rsid w:val="00433001"/>
    <w:rsid w:val="00433182"/>
    <w:rsid w:val="00433722"/>
    <w:rsid w:val="00434E60"/>
    <w:rsid w:val="00435292"/>
    <w:rsid w:val="00436102"/>
    <w:rsid w:val="00436454"/>
    <w:rsid w:val="0043680B"/>
    <w:rsid w:val="00436F10"/>
    <w:rsid w:val="004373C4"/>
    <w:rsid w:val="00437623"/>
    <w:rsid w:val="00437CFD"/>
    <w:rsid w:val="00437FE6"/>
    <w:rsid w:val="0044019B"/>
    <w:rsid w:val="00440298"/>
    <w:rsid w:val="00441B77"/>
    <w:rsid w:val="00442A6C"/>
    <w:rsid w:val="00443E20"/>
    <w:rsid w:val="00444039"/>
    <w:rsid w:val="00444411"/>
    <w:rsid w:val="004447FF"/>
    <w:rsid w:val="00444BDC"/>
    <w:rsid w:val="00445193"/>
    <w:rsid w:val="004458B3"/>
    <w:rsid w:val="00447330"/>
    <w:rsid w:val="00450EC8"/>
    <w:rsid w:val="00451AF6"/>
    <w:rsid w:val="0045361E"/>
    <w:rsid w:val="0045367B"/>
    <w:rsid w:val="00453A06"/>
    <w:rsid w:val="004544F8"/>
    <w:rsid w:val="0045490A"/>
    <w:rsid w:val="00454B88"/>
    <w:rsid w:val="00454D56"/>
    <w:rsid w:val="00455AE9"/>
    <w:rsid w:val="00455B24"/>
    <w:rsid w:val="00456466"/>
    <w:rsid w:val="00456A81"/>
    <w:rsid w:val="00456E42"/>
    <w:rsid w:val="00457245"/>
    <w:rsid w:val="004577CB"/>
    <w:rsid w:val="00457E5B"/>
    <w:rsid w:val="0046297C"/>
    <w:rsid w:val="00463382"/>
    <w:rsid w:val="00463E5D"/>
    <w:rsid w:val="00464708"/>
    <w:rsid w:val="00465656"/>
    <w:rsid w:val="00465802"/>
    <w:rsid w:val="00465C72"/>
    <w:rsid w:val="00466F68"/>
    <w:rsid w:val="00467B0A"/>
    <w:rsid w:val="004700A8"/>
    <w:rsid w:val="0047070E"/>
    <w:rsid w:val="00470A42"/>
    <w:rsid w:val="00472A7D"/>
    <w:rsid w:val="00473867"/>
    <w:rsid w:val="004738CA"/>
    <w:rsid w:val="00473A39"/>
    <w:rsid w:val="0047416D"/>
    <w:rsid w:val="004741F9"/>
    <w:rsid w:val="00474CD6"/>
    <w:rsid w:val="00474EF6"/>
    <w:rsid w:val="004752CA"/>
    <w:rsid w:val="00475BC0"/>
    <w:rsid w:val="00476B36"/>
    <w:rsid w:val="004777C0"/>
    <w:rsid w:val="00477C22"/>
    <w:rsid w:val="00480624"/>
    <w:rsid w:val="00481A30"/>
    <w:rsid w:val="00482A2A"/>
    <w:rsid w:val="0048315E"/>
    <w:rsid w:val="00483449"/>
    <w:rsid w:val="004834DF"/>
    <w:rsid w:val="0048450A"/>
    <w:rsid w:val="00484F19"/>
    <w:rsid w:val="00486D2A"/>
    <w:rsid w:val="00490038"/>
    <w:rsid w:val="004909CD"/>
    <w:rsid w:val="0049144D"/>
    <w:rsid w:val="00491A8F"/>
    <w:rsid w:val="00491CEB"/>
    <w:rsid w:val="004923A5"/>
    <w:rsid w:val="00492C6B"/>
    <w:rsid w:val="00492E53"/>
    <w:rsid w:val="00494972"/>
    <w:rsid w:val="004954EE"/>
    <w:rsid w:val="004954FB"/>
    <w:rsid w:val="004958AE"/>
    <w:rsid w:val="0049715B"/>
    <w:rsid w:val="00497593"/>
    <w:rsid w:val="00497EBD"/>
    <w:rsid w:val="004A0A73"/>
    <w:rsid w:val="004A1831"/>
    <w:rsid w:val="004A23D7"/>
    <w:rsid w:val="004A3399"/>
    <w:rsid w:val="004A34FB"/>
    <w:rsid w:val="004A3B53"/>
    <w:rsid w:val="004A4153"/>
    <w:rsid w:val="004A4C5A"/>
    <w:rsid w:val="004A5C99"/>
    <w:rsid w:val="004A63A0"/>
    <w:rsid w:val="004A66D9"/>
    <w:rsid w:val="004A79E5"/>
    <w:rsid w:val="004B1304"/>
    <w:rsid w:val="004B17C8"/>
    <w:rsid w:val="004B1A95"/>
    <w:rsid w:val="004B1C53"/>
    <w:rsid w:val="004B3B07"/>
    <w:rsid w:val="004B3F8C"/>
    <w:rsid w:val="004B4D6F"/>
    <w:rsid w:val="004B5293"/>
    <w:rsid w:val="004B539E"/>
    <w:rsid w:val="004B5D04"/>
    <w:rsid w:val="004B6184"/>
    <w:rsid w:val="004B69BB"/>
    <w:rsid w:val="004B6FF7"/>
    <w:rsid w:val="004B776F"/>
    <w:rsid w:val="004B7CDB"/>
    <w:rsid w:val="004C035D"/>
    <w:rsid w:val="004C129D"/>
    <w:rsid w:val="004C12C1"/>
    <w:rsid w:val="004C2203"/>
    <w:rsid w:val="004C2993"/>
    <w:rsid w:val="004C331A"/>
    <w:rsid w:val="004C3ABF"/>
    <w:rsid w:val="004C4809"/>
    <w:rsid w:val="004C4B45"/>
    <w:rsid w:val="004C4E0B"/>
    <w:rsid w:val="004C6F92"/>
    <w:rsid w:val="004C7688"/>
    <w:rsid w:val="004D037F"/>
    <w:rsid w:val="004D0CA0"/>
    <w:rsid w:val="004D0EA5"/>
    <w:rsid w:val="004D24B0"/>
    <w:rsid w:val="004D281A"/>
    <w:rsid w:val="004D369F"/>
    <w:rsid w:val="004D3EA8"/>
    <w:rsid w:val="004D412A"/>
    <w:rsid w:val="004D54C8"/>
    <w:rsid w:val="004D55E5"/>
    <w:rsid w:val="004D57B2"/>
    <w:rsid w:val="004D733C"/>
    <w:rsid w:val="004D75E1"/>
    <w:rsid w:val="004D7FB7"/>
    <w:rsid w:val="004E1ACE"/>
    <w:rsid w:val="004E2488"/>
    <w:rsid w:val="004E26E5"/>
    <w:rsid w:val="004E33E6"/>
    <w:rsid w:val="004E3572"/>
    <w:rsid w:val="004E3AAF"/>
    <w:rsid w:val="004E42E5"/>
    <w:rsid w:val="004E4830"/>
    <w:rsid w:val="004E49B9"/>
    <w:rsid w:val="004E5827"/>
    <w:rsid w:val="004E5AE1"/>
    <w:rsid w:val="004E5CEF"/>
    <w:rsid w:val="004E669E"/>
    <w:rsid w:val="004E66CE"/>
    <w:rsid w:val="004E6ACB"/>
    <w:rsid w:val="004E7411"/>
    <w:rsid w:val="004E7D6E"/>
    <w:rsid w:val="004E7ED3"/>
    <w:rsid w:val="004F0AD8"/>
    <w:rsid w:val="004F0D26"/>
    <w:rsid w:val="004F2609"/>
    <w:rsid w:val="004F26F6"/>
    <w:rsid w:val="004F2A06"/>
    <w:rsid w:val="004F2A43"/>
    <w:rsid w:val="004F3CB5"/>
    <w:rsid w:val="004F4622"/>
    <w:rsid w:val="004F4F58"/>
    <w:rsid w:val="004F5C53"/>
    <w:rsid w:val="004F6CEF"/>
    <w:rsid w:val="004F701C"/>
    <w:rsid w:val="004F7071"/>
    <w:rsid w:val="004F757F"/>
    <w:rsid w:val="004F7BE1"/>
    <w:rsid w:val="004F7FAD"/>
    <w:rsid w:val="005000F5"/>
    <w:rsid w:val="0050050B"/>
    <w:rsid w:val="00501A4F"/>
    <w:rsid w:val="0050240B"/>
    <w:rsid w:val="00502AB3"/>
    <w:rsid w:val="00502E91"/>
    <w:rsid w:val="0050318F"/>
    <w:rsid w:val="005035EB"/>
    <w:rsid w:val="00503ACD"/>
    <w:rsid w:val="00503E67"/>
    <w:rsid w:val="00504015"/>
    <w:rsid w:val="00504C85"/>
    <w:rsid w:val="00504F72"/>
    <w:rsid w:val="005053A8"/>
    <w:rsid w:val="0050561B"/>
    <w:rsid w:val="00505912"/>
    <w:rsid w:val="00506324"/>
    <w:rsid w:val="0050632F"/>
    <w:rsid w:val="00507168"/>
    <w:rsid w:val="0051153F"/>
    <w:rsid w:val="00511624"/>
    <w:rsid w:val="00511FA4"/>
    <w:rsid w:val="00511FE6"/>
    <w:rsid w:val="00512290"/>
    <w:rsid w:val="00512366"/>
    <w:rsid w:val="0051245F"/>
    <w:rsid w:val="00513005"/>
    <w:rsid w:val="0051334E"/>
    <w:rsid w:val="00513762"/>
    <w:rsid w:val="0051376E"/>
    <w:rsid w:val="00513B56"/>
    <w:rsid w:val="00514617"/>
    <w:rsid w:val="00514BDF"/>
    <w:rsid w:val="005155A6"/>
    <w:rsid w:val="00515DEC"/>
    <w:rsid w:val="00516184"/>
    <w:rsid w:val="005176B4"/>
    <w:rsid w:val="00520458"/>
    <w:rsid w:val="0052047D"/>
    <w:rsid w:val="00520568"/>
    <w:rsid w:val="005206C5"/>
    <w:rsid w:val="005208E0"/>
    <w:rsid w:val="0052273F"/>
    <w:rsid w:val="00522E54"/>
    <w:rsid w:val="00523B44"/>
    <w:rsid w:val="00523F70"/>
    <w:rsid w:val="0052459C"/>
    <w:rsid w:val="005245E1"/>
    <w:rsid w:val="005254D5"/>
    <w:rsid w:val="0053006D"/>
    <w:rsid w:val="005303B2"/>
    <w:rsid w:val="00531524"/>
    <w:rsid w:val="00531A45"/>
    <w:rsid w:val="005329C2"/>
    <w:rsid w:val="005337D4"/>
    <w:rsid w:val="00533B67"/>
    <w:rsid w:val="00534328"/>
    <w:rsid w:val="00535276"/>
    <w:rsid w:val="005360E7"/>
    <w:rsid w:val="005368EC"/>
    <w:rsid w:val="00537655"/>
    <w:rsid w:val="00540632"/>
    <w:rsid w:val="00540B30"/>
    <w:rsid w:val="00541296"/>
    <w:rsid w:val="005414DF"/>
    <w:rsid w:val="00541A03"/>
    <w:rsid w:val="00543E0F"/>
    <w:rsid w:val="0054409D"/>
    <w:rsid w:val="0054499E"/>
    <w:rsid w:val="005454E8"/>
    <w:rsid w:val="00545F8F"/>
    <w:rsid w:val="005460B1"/>
    <w:rsid w:val="005467FD"/>
    <w:rsid w:val="00546E00"/>
    <w:rsid w:val="00547161"/>
    <w:rsid w:val="00547347"/>
    <w:rsid w:val="00547887"/>
    <w:rsid w:val="00547A73"/>
    <w:rsid w:val="00547F58"/>
    <w:rsid w:val="00551F85"/>
    <w:rsid w:val="0055206D"/>
    <w:rsid w:val="00552534"/>
    <w:rsid w:val="00552D2C"/>
    <w:rsid w:val="005533C7"/>
    <w:rsid w:val="0055511E"/>
    <w:rsid w:val="00555454"/>
    <w:rsid w:val="00556EDD"/>
    <w:rsid w:val="00561C18"/>
    <w:rsid w:val="00563514"/>
    <w:rsid w:val="005637A4"/>
    <w:rsid w:val="005639BA"/>
    <w:rsid w:val="005641B2"/>
    <w:rsid w:val="00564BC2"/>
    <w:rsid w:val="00564D46"/>
    <w:rsid w:val="00566190"/>
    <w:rsid w:val="005666A1"/>
    <w:rsid w:val="005667B7"/>
    <w:rsid w:val="00566CF2"/>
    <w:rsid w:val="005674E0"/>
    <w:rsid w:val="00567671"/>
    <w:rsid w:val="00571A6A"/>
    <w:rsid w:val="00572663"/>
    <w:rsid w:val="00572787"/>
    <w:rsid w:val="00574A53"/>
    <w:rsid w:val="00574C98"/>
    <w:rsid w:val="00575577"/>
    <w:rsid w:val="00575935"/>
    <w:rsid w:val="005765EA"/>
    <w:rsid w:val="00577004"/>
    <w:rsid w:val="00577C0E"/>
    <w:rsid w:val="005800AF"/>
    <w:rsid w:val="00580E7C"/>
    <w:rsid w:val="00582426"/>
    <w:rsid w:val="005826C0"/>
    <w:rsid w:val="005831F3"/>
    <w:rsid w:val="0058370A"/>
    <w:rsid w:val="0058439D"/>
    <w:rsid w:val="00585A38"/>
    <w:rsid w:val="00586161"/>
    <w:rsid w:val="00587834"/>
    <w:rsid w:val="005879B6"/>
    <w:rsid w:val="00590EE0"/>
    <w:rsid w:val="00592342"/>
    <w:rsid w:val="00592DB0"/>
    <w:rsid w:val="00592F6D"/>
    <w:rsid w:val="0059379B"/>
    <w:rsid w:val="00593B8B"/>
    <w:rsid w:val="00594050"/>
    <w:rsid w:val="00594B2E"/>
    <w:rsid w:val="00594F86"/>
    <w:rsid w:val="00595267"/>
    <w:rsid w:val="00595545"/>
    <w:rsid w:val="005A0607"/>
    <w:rsid w:val="005A194C"/>
    <w:rsid w:val="005A1E0F"/>
    <w:rsid w:val="005A31EF"/>
    <w:rsid w:val="005A36CA"/>
    <w:rsid w:val="005A3B5B"/>
    <w:rsid w:val="005A3E17"/>
    <w:rsid w:val="005A3F4C"/>
    <w:rsid w:val="005A3F7D"/>
    <w:rsid w:val="005A5017"/>
    <w:rsid w:val="005A50DD"/>
    <w:rsid w:val="005A523F"/>
    <w:rsid w:val="005A5DF7"/>
    <w:rsid w:val="005A5F09"/>
    <w:rsid w:val="005A78C7"/>
    <w:rsid w:val="005A7CC0"/>
    <w:rsid w:val="005B1027"/>
    <w:rsid w:val="005B19B5"/>
    <w:rsid w:val="005B1A84"/>
    <w:rsid w:val="005B1D23"/>
    <w:rsid w:val="005B2264"/>
    <w:rsid w:val="005B2C2B"/>
    <w:rsid w:val="005B2CCD"/>
    <w:rsid w:val="005B2EE5"/>
    <w:rsid w:val="005B33F2"/>
    <w:rsid w:val="005B358D"/>
    <w:rsid w:val="005B48D3"/>
    <w:rsid w:val="005B4C80"/>
    <w:rsid w:val="005B51C3"/>
    <w:rsid w:val="005B79AA"/>
    <w:rsid w:val="005C0BA1"/>
    <w:rsid w:val="005C0CB7"/>
    <w:rsid w:val="005C1E10"/>
    <w:rsid w:val="005C2336"/>
    <w:rsid w:val="005C2BD0"/>
    <w:rsid w:val="005C36CC"/>
    <w:rsid w:val="005C4F74"/>
    <w:rsid w:val="005C5383"/>
    <w:rsid w:val="005C55A3"/>
    <w:rsid w:val="005C5656"/>
    <w:rsid w:val="005C68C0"/>
    <w:rsid w:val="005C6BE3"/>
    <w:rsid w:val="005C6D8D"/>
    <w:rsid w:val="005C740C"/>
    <w:rsid w:val="005D0626"/>
    <w:rsid w:val="005D0AD7"/>
    <w:rsid w:val="005D0EFD"/>
    <w:rsid w:val="005D1692"/>
    <w:rsid w:val="005D2598"/>
    <w:rsid w:val="005D3B6B"/>
    <w:rsid w:val="005D3D0B"/>
    <w:rsid w:val="005D5DFA"/>
    <w:rsid w:val="005D5E42"/>
    <w:rsid w:val="005D6665"/>
    <w:rsid w:val="005D67A6"/>
    <w:rsid w:val="005D6D13"/>
    <w:rsid w:val="005E013F"/>
    <w:rsid w:val="005E1723"/>
    <w:rsid w:val="005E1FFB"/>
    <w:rsid w:val="005E3ABB"/>
    <w:rsid w:val="005E3C74"/>
    <w:rsid w:val="005E4085"/>
    <w:rsid w:val="005E47A3"/>
    <w:rsid w:val="005E491F"/>
    <w:rsid w:val="005E4D09"/>
    <w:rsid w:val="005E4E8E"/>
    <w:rsid w:val="005E6093"/>
    <w:rsid w:val="005E62D3"/>
    <w:rsid w:val="005E6CE2"/>
    <w:rsid w:val="005E6FDB"/>
    <w:rsid w:val="005E7042"/>
    <w:rsid w:val="005E77D3"/>
    <w:rsid w:val="005F15D8"/>
    <w:rsid w:val="005F2296"/>
    <w:rsid w:val="005F23A5"/>
    <w:rsid w:val="005F284E"/>
    <w:rsid w:val="005F2D60"/>
    <w:rsid w:val="005F38AD"/>
    <w:rsid w:val="005F4AED"/>
    <w:rsid w:val="005F4BAB"/>
    <w:rsid w:val="005F4DBF"/>
    <w:rsid w:val="005F5E9E"/>
    <w:rsid w:val="005F6106"/>
    <w:rsid w:val="005F7510"/>
    <w:rsid w:val="005F7A3E"/>
    <w:rsid w:val="006001E7"/>
    <w:rsid w:val="0060091E"/>
    <w:rsid w:val="006019E9"/>
    <w:rsid w:val="00601F9D"/>
    <w:rsid w:val="006023FC"/>
    <w:rsid w:val="00602DF4"/>
    <w:rsid w:val="0060308C"/>
    <w:rsid w:val="006032A7"/>
    <w:rsid w:val="00603DAE"/>
    <w:rsid w:val="006045FE"/>
    <w:rsid w:val="006046E5"/>
    <w:rsid w:val="00604AC9"/>
    <w:rsid w:val="00605C46"/>
    <w:rsid w:val="0060606D"/>
    <w:rsid w:val="0060690E"/>
    <w:rsid w:val="0060786D"/>
    <w:rsid w:val="0061107C"/>
    <w:rsid w:val="00611189"/>
    <w:rsid w:val="00611287"/>
    <w:rsid w:val="00611714"/>
    <w:rsid w:val="00611715"/>
    <w:rsid w:val="00611855"/>
    <w:rsid w:val="00611B38"/>
    <w:rsid w:val="006122C1"/>
    <w:rsid w:val="006136B7"/>
    <w:rsid w:val="006136FD"/>
    <w:rsid w:val="00613724"/>
    <w:rsid w:val="00613CF3"/>
    <w:rsid w:val="0061446B"/>
    <w:rsid w:val="0061478D"/>
    <w:rsid w:val="00615302"/>
    <w:rsid w:val="006155C4"/>
    <w:rsid w:val="006166E9"/>
    <w:rsid w:val="0061726A"/>
    <w:rsid w:val="006178C6"/>
    <w:rsid w:val="00617F52"/>
    <w:rsid w:val="006209A8"/>
    <w:rsid w:val="00620D74"/>
    <w:rsid w:val="0062130E"/>
    <w:rsid w:val="00621318"/>
    <w:rsid w:val="006224C1"/>
    <w:rsid w:val="006227DA"/>
    <w:rsid w:val="006227E2"/>
    <w:rsid w:val="00622C55"/>
    <w:rsid w:val="00623DF9"/>
    <w:rsid w:val="00624960"/>
    <w:rsid w:val="00624E2C"/>
    <w:rsid w:val="00624F02"/>
    <w:rsid w:val="00625A03"/>
    <w:rsid w:val="00625B2F"/>
    <w:rsid w:val="00626984"/>
    <w:rsid w:val="00626C24"/>
    <w:rsid w:val="006271D9"/>
    <w:rsid w:val="0063084D"/>
    <w:rsid w:val="006308F0"/>
    <w:rsid w:val="0063091A"/>
    <w:rsid w:val="00630BB7"/>
    <w:rsid w:val="00631186"/>
    <w:rsid w:val="00631339"/>
    <w:rsid w:val="006313F5"/>
    <w:rsid w:val="0063193D"/>
    <w:rsid w:val="00632061"/>
    <w:rsid w:val="00632655"/>
    <w:rsid w:val="00632745"/>
    <w:rsid w:val="006333A3"/>
    <w:rsid w:val="006346B7"/>
    <w:rsid w:val="00635631"/>
    <w:rsid w:val="00636477"/>
    <w:rsid w:val="00636B38"/>
    <w:rsid w:val="006373C5"/>
    <w:rsid w:val="00637486"/>
    <w:rsid w:val="006376ED"/>
    <w:rsid w:val="0063777F"/>
    <w:rsid w:val="00640734"/>
    <w:rsid w:val="00640C20"/>
    <w:rsid w:val="00641B34"/>
    <w:rsid w:val="00642430"/>
    <w:rsid w:val="006425E4"/>
    <w:rsid w:val="0064260A"/>
    <w:rsid w:val="006453C5"/>
    <w:rsid w:val="006458EC"/>
    <w:rsid w:val="00646B3D"/>
    <w:rsid w:val="00646C1B"/>
    <w:rsid w:val="00647477"/>
    <w:rsid w:val="00647EB3"/>
    <w:rsid w:val="00651138"/>
    <w:rsid w:val="006511A3"/>
    <w:rsid w:val="00651807"/>
    <w:rsid w:val="00651A62"/>
    <w:rsid w:val="006520A7"/>
    <w:rsid w:val="00653100"/>
    <w:rsid w:val="006535F3"/>
    <w:rsid w:val="006550B5"/>
    <w:rsid w:val="006561D7"/>
    <w:rsid w:val="0065633E"/>
    <w:rsid w:val="006566F6"/>
    <w:rsid w:val="00656A22"/>
    <w:rsid w:val="00656C30"/>
    <w:rsid w:val="00657D09"/>
    <w:rsid w:val="00660FB3"/>
    <w:rsid w:val="006610A6"/>
    <w:rsid w:val="006613E6"/>
    <w:rsid w:val="00661E38"/>
    <w:rsid w:val="0066237F"/>
    <w:rsid w:val="00662E47"/>
    <w:rsid w:val="00663B82"/>
    <w:rsid w:val="00663BF7"/>
    <w:rsid w:val="00663EDB"/>
    <w:rsid w:val="00664219"/>
    <w:rsid w:val="00664482"/>
    <w:rsid w:val="00665E7A"/>
    <w:rsid w:val="00666C63"/>
    <w:rsid w:val="00666E11"/>
    <w:rsid w:val="00670201"/>
    <w:rsid w:val="00670A6D"/>
    <w:rsid w:val="00673610"/>
    <w:rsid w:val="00675797"/>
    <w:rsid w:val="00675919"/>
    <w:rsid w:val="006764B3"/>
    <w:rsid w:val="0068029C"/>
    <w:rsid w:val="0068062F"/>
    <w:rsid w:val="00680F24"/>
    <w:rsid w:val="00681683"/>
    <w:rsid w:val="00681700"/>
    <w:rsid w:val="00683FDC"/>
    <w:rsid w:val="006847AF"/>
    <w:rsid w:val="00685AF2"/>
    <w:rsid w:val="00685B20"/>
    <w:rsid w:val="00687AFB"/>
    <w:rsid w:val="00687E61"/>
    <w:rsid w:val="00690064"/>
    <w:rsid w:val="006905C6"/>
    <w:rsid w:val="006907C5"/>
    <w:rsid w:val="0069109A"/>
    <w:rsid w:val="00691446"/>
    <w:rsid w:val="006917CD"/>
    <w:rsid w:val="00691B34"/>
    <w:rsid w:val="00691DFE"/>
    <w:rsid w:val="006924C1"/>
    <w:rsid w:val="00692A00"/>
    <w:rsid w:val="00693548"/>
    <w:rsid w:val="00693595"/>
    <w:rsid w:val="00693928"/>
    <w:rsid w:val="006947A9"/>
    <w:rsid w:val="006949D2"/>
    <w:rsid w:val="00694C06"/>
    <w:rsid w:val="00694C5F"/>
    <w:rsid w:val="00696917"/>
    <w:rsid w:val="00697544"/>
    <w:rsid w:val="00697946"/>
    <w:rsid w:val="006A028F"/>
    <w:rsid w:val="006A2333"/>
    <w:rsid w:val="006A38F5"/>
    <w:rsid w:val="006A4D43"/>
    <w:rsid w:val="006A6E1D"/>
    <w:rsid w:val="006A71A2"/>
    <w:rsid w:val="006A742B"/>
    <w:rsid w:val="006A77B9"/>
    <w:rsid w:val="006A7A0B"/>
    <w:rsid w:val="006B15F7"/>
    <w:rsid w:val="006B169E"/>
    <w:rsid w:val="006B1A42"/>
    <w:rsid w:val="006B1A89"/>
    <w:rsid w:val="006B2842"/>
    <w:rsid w:val="006B2E90"/>
    <w:rsid w:val="006B2E9F"/>
    <w:rsid w:val="006B32AB"/>
    <w:rsid w:val="006B388A"/>
    <w:rsid w:val="006B652D"/>
    <w:rsid w:val="006B682E"/>
    <w:rsid w:val="006B6F8B"/>
    <w:rsid w:val="006B7F66"/>
    <w:rsid w:val="006C209F"/>
    <w:rsid w:val="006C320A"/>
    <w:rsid w:val="006C3577"/>
    <w:rsid w:val="006C4BC8"/>
    <w:rsid w:val="006C4E53"/>
    <w:rsid w:val="006C56DA"/>
    <w:rsid w:val="006C5846"/>
    <w:rsid w:val="006C6511"/>
    <w:rsid w:val="006C655B"/>
    <w:rsid w:val="006C76FB"/>
    <w:rsid w:val="006D001F"/>
    <w:rsid w:val="006D1884"/>
    <w:rsid w:val="006D19FD"/>
    <w:rsid w:val="006D1A13"/>
    <w:rsid w:val="006D4362"/>
    <w:rsid w:val="006D49AC"/>
    <w:rsid w:val="006D4A96"/>
    <w:rsid w:val="006D4AA0"/>
    <w:rsid w:val="006D4C62"/>
    <w:rsid w:val="006D5B3B"/>
    <w:rsid w:val="006D5C23"/>
    <w:rsid w:val="006D698F"/>
    <w:rsid w:val="006D6D66"/>
    <w:rsid w:val="006D712C"/>
    <w:rsid w:val="006D7ADA"/>
    <w:rsid w:val="006E1047"/>
    <w:rsid w:val="006E16AE"/>
    <w:rsid w:val="006E1820"/>
    <w:rsid w:val="006E29A5"/>
    <w:rsid w:val="006E3763"/>
    <w:rsid w:val="006E37A9"/>
    <w:rsid w:val="006E3A5D"/>
    <w:rsid w:val="006E43AD"/>
    <w:rsid w:val="006E45C9"/>
    <w:rsid w:val="006E4C13"/>
    <w:rsid w:val="006E638A"/>
    <w:rsid w:val="006E6A83"/>
    <w:rsid w:val="006E6BD0"/>
    <w:rsid w:val="006E7C12"/>
    <w:rsid w:val="006F07C5"/>
    <w:rsid w:val="006F0BE7"/>
    <w:rsid w:val="006F1D3B"/>
    <w:rsid w:val="006F1D7D"/>
    <w:rsid w:val="006F1DDA"/>
    <w:rsid w:val="006F1EFB"/>
    <w:rsid w:val="006F265F"/>
    <w:rsid w:val="006F32B3"/>
    <w:rsid w:val="006F41C3"/>
    <w:rsid w:val="006F460E"/>
    <w:rsid w:val="006F4DBC"/>
    <w:rsid w:val="006F54CC"/>
    <w:rsid w:val="006F5528"/>
    <w:rsid w:val="006F552B"/>
    <w:rsid w:val="006F5782"/>
    <w:rsid w:val="006F6039"/>
    <w:rsid w:val="006F6659"/>
    <w:rsid w:val="006F71DA"/>
    <w:rsid w:val="006F7E8D"/>
    <w:rsid w:val="007005DF"/>
    <w:rsid w:val="0070081B"/>
    <w:rsid w:val="0070113A"/>
    <w:rsid w:val="00701A88"/>
    <w:rsid w:val="00701B21"/>
    <w:rsid w:val="007026D6"/>
    <w:rsid w:val="00702909"/>
    <w:rsid w:val="007032DC"/>
    <w:rsid w:val="00703E35"/>
    <w:rsid w:val="00704168"/>
    <w:rsid w:val="00704E4F"/>
    <w:rsid w:val="00705989"/>
    <w:rsid w:val="00705C33"/>
    <w:rsid w:val="007105EE"/>
    <w:rsid w:val="007109B3"/>
    <w:rsid w:val="00710A63"/>
    <w:rsid w:val="00710C6F"/>
    <w:rsid w:val="00710E30"/>
    <w:rsid w:val="00711895"/>
    <w:rsid w:val="007130A0"/>
    <w:rsid w:val="007133FE"/>
    <w:rsid w:val="00713598"/>
    <w:rsid w:val="0071382D"/>
    <w:rsid w:val="00714100"/>
    <w:rsid w:val="007142F6"/>
    <w:rsid w:val="00714DD2"/>
    <w:rsid w:val="0071610F"/>
    <w:rsid w:val="00716AF5"/>
    <w:rsid w:val="007170CB"/>
    <w:rsid w:val="007200B1"/>
    <w:rsid w:val="00720B93"/>
    <w:rsid w:val="00721197"/>
    <w:rsid w:val="00721205"/>
    <w:rsid w:val="00721638"/>
    <w:rsid w:val="00721691"/>
    <w:rsid w:val="00721B73"/>
    <w:rsid w:val="00722486"/>
    <w:rsid w:val="00722C14"/>
    <w:rsid w:val="00723705"/>
    <w:rsid w:val="007238C7"/>
    <w:rsid w:val="00724AC4"/>
    <w:rsid w:val="00724C04"/>
    <w:rsid w:val="00724C3A"/>
    <w:rsid w:val="00725702"/>
    <w:rsid w:val="00726775"/>
    <w:rsid w:val="00727C66"/>
    <w:rsid w:val="0073032D"/>
    <w:rsid w:val="00731535"/>
    <w:rsid w:val="00731622"/>
    <w:rsid w:val="00731678"/>
    <w:rsid w:val="00732242"/>
    <w:rsid w:val="00732754"/>
    <w:rsid w:val="00733BB7"/>
    <w:rsid w:val="00737584"/>
    <w:rsid w:val="007377F9"/>
    <w:rsid w:val="00737AC2"/>
    <w:rsid w:val="00741174"/>
    <w:rsid w:val="00741476"/>
    <w:rsid w:val="00741869"/>
    <w:rsid w:val="00741A0D"/>
    <w:rsid w:val="0074205F"/>
    <w:rsid w:val="0074248F"/>
    <w:rsid w:val="007428D4"/>
    <w:rsid w:val="00742B89"/>
    <w:rsid w:val="0074383C"/>
    <w:rsid w:val="0074418E"/>
    <w:rsid w:val="00744662"/>
    <w:rsid w:val="00744948"/>
    <w:rsid w:val="00745A36"/>
    <w:rsid w:val="007464DE"/>
    <w:rsid w:val="0074784F"/>
    <w:rsid w:val="00750388"/>
    <w:rsid w:val="00750441"/>
    <w:rsid w:val="00750B87"/>
    <w:rsid w:val="00750BBA"/>
    <w:rsid w:val="00751E0A"/>
    <w:rsid w:val="00752B7D"/>
    <w:rsid w:val="00752BD0"/>
    <w:rsid w:val="00753014"/>
    <w:rsid w:val="00753325"/>
    <w:rsid w:val="00754057"/>
    <w:rsid w:val="0075426C"/>
    <w:rsid w:val="007549D5"/>
    <w:rsid w:val="00754C00"/>
    <w:rsid w:val="007558B2"/>
    <w:rsid w:val="00755922"/>
    <w:rsid w:val="00755C4F"/>
    <w:rsid w:val="00755D63"/>
    <w:rsid w:val="0075620D"/>
    <w:rsid w:val="007562A4"/>
    <w:rsid w:val="0075669C"/>
    <w:rsid w:val="00756949"/>
    <w:rsid w:val="00756EA1"/>
    <w:rsid w:val="007577E3"/>
    <w:rsid w:val="00757AFA"/>
    <w:rsid w:val="00757CF9"/>
    <w:rsid w:val="00760556"/>
    <w:rsid w:val="00760B57"/>
    <w:rsid w:val="0076168A"/>
    <w:rsid w:val="00761785"/>
    <w:rsid w:val="007618BB"/>
    <w:rsid w:val="0076191A"/>
    <w:rsid w:val="00762695"/>
    <w:rsid w:val="00762831"/>
    <w:rsid w:val="00763A58"/>
    <w:rsid w:val="00763F19"/>
    <w:rsid w:val="0076463A"/>
    <w:rsid w:val="007665A0"/>
    <w:rsid w:val="007679CC"/>
    <w:rsid w:val="00767B6E"/>
    <w:rsid w:val="00770433"/>
    <w:rsid w:val="007716FE"/>
    <w:rsid w:val="00771D68"/>
    <w:rsid w:val="007720E2"/>
    <w:rsid w:val="007726E3"/>
    <w:rsid w:val="007730AD"/>
    <w:rsid w:val="00773DB2"/>
    <w:rsid w:val="007741C6"/>
    <w:rsid w:val="00774760"/>
    <w:rsid w:val="00774FD6"/>
    <w:rsid w:val="007750A8"/>
    <w:rsid w:val="00775C6A"/>
    <w:rsid w:val="00776C6B"/>
    <w:rsid w:val="00777FC8"/>
    <w:rsid w:val="0078088D"/>
    <w:rsid w:val="00780C10"/>
    <w:rsid w:val="0078180D"/>
    <w:rsid w:val="00782936"/>
    <w:rsid w:val="00782C2E"/>
    <w:rsid w:val="00782E60"/>
    <w:rsid w:val="00783131"/>
    <w:rsid w:val="00783607"/>
    <w:rsid w:val="00783B67"/>
    <w:rsid w:val="007840C8"/>
    <w:rsid w:val="0078428E"/>
    <w:rsid w:val="00785371"/>
    <w:rsid w:val="00785485"/>
    <w:rsid w:val="00785826"/>
    <w:rsid w:val="00785922"/>
    <w:rsid w:val="007859CD"/>
    <w:rsid w:val="00785F2E"/>
    <w:rsid w:val="0078616D"/>
    <w:rsid w:val="00786446"/>
    <w:rsid w:val="00786F76"/>
    <w:rsid w:val="0078711C"/>
    <w:rsid w:val="007902A4"/>
    <w:rsid w:val="00790DCB"/>
    <w:rsid w:val="00791E78"/>
    <w:rsid w:val="00791F10"/>
    <w:rsid w:val="00792103"/>
    <w:rsid w:val="00792B66"/>
    <w:rsid w:val="00793532"/>
    <w:rsid w:val="0079375D"/>
    <w:rsid w:val="00794187"/>
    <w:rsid w:val="00794E05"/>
    <w:rsid w:val="00795274"/>
    <w:rsid w:val="0079537D"/>
    <w:rsid w:val="00795B9A"/>
    <w:rsid w:val="00796998"/>
    <w:rsid w:val="00796C04"/>
    <w:rsid w:val="007974D3"/>
    <w:rsid w:val="00797DA6"/>
    <w:rsid w:val="007A02C8"/>
    <w:rsid w:val="007A092E"/>
    <w:rsid w:val="007A0EA7"/>
    <w:rsid w:val="007A17D9"/>
    <w:rsid w:val="007A1C1D"/>
    <w:rsid w:val="007A301D"/>
    <w:rsid w:val="007A30DC"/>
    <w:rsid w:val="007A3FAA"/>
    <w:rsid w:val="007A4149"/>
    <w:rsid w:val="007A4538"/>
    <w:rsid w:val="007A47E6"/>
    <w:rsid w:val="007A48C1"/>
    <w:rsid w:val="007A589A"/>
    <w:rsid w:val="007A6B9A"/>
    <w:rsid w:val="007A76CD"/>
    <w:rsid w:val="007B04D9"/>
    <w:rsid w:val="007B06C1"/>
    <w:rsid w:val="007B083C"/>
    <w:rsid w:val="007B0E7A"/>
    <w:rsid w:val="007B0EA0"/>
    <w:rsid w:val="007B112B"/>
    <w:rsid w:val="007B1340"/>
    <w:rsid w:val="007B2224"/>
    <w:rsid w:val="007B30FF"/>
    <w:rsid w:val="007B36AD"/>
    <w:rsid w:val="007B4E30"/>
    <w:rsid w:val="007B4FF3"/>
    <w:rsid w:val="007B5763"/>
    <w:rsid w:val="007B5907"/>
    <w:rsid w:val="007B5EBA"/>
    <w:rsid w:val="007B748C"/>
    <w:rsid w:val="007C04D7"/>
    <w:rsid w:val="007C1072"/>
    <w:rsid w:val="007C142A"/>
    <w:rsid w:val="007C35C3"/>
    <w:rsid w:val="007C3960"/>
    <w:rsid w:val="007C3C7A"/>
    <w:rsid w:val="007C418C"/>
    <w:rsid w:val="007C42BA"/>
    <w:rsid w:val="007C48DA"/>
    <w:rsid w:val="007C573A"/>
    <w:rsid w:val="007C6182"/>
    <w:rsid w:val="007C65E8"/>
    <w:rsid w:val="007D07F3"/>
    <w:rsid w:val="007D1222"/>
    <w:rsid w:val="007D1DA4"/>
    <w:rsid w:val="007D29A4"/>
    <w:rsid w:val="007D29D3"/>
    <w:rsid w:val="007D3827"/>
    <w:rsid w:val="007D3CD8"/>
    <w:rsid w:val="007D425C"/>
    <w:rsid w:val="007D46CD"/>
    <w:rsid w:val="007D4C5A"/>
    <w:rsid w:val="007D50FF"/>
    <w:rsid w:val="007D5184"/>
    <w:rsid w:val="007D69C0"/>
    <w:rsid w:val="007D6AB2"/>
    <w:rsid w:val="007E030B"/>
    <w:rsid w:val="007E0FF8"/>
    <w:rsid w:val="007E1229"/>
    <w:rsid w:val="007E1778"/>
    <w:rsid w:val="007E39ED"/>
    <w:rsid w:val="007E3BA0"/>
    <w:rsid w:val="007E3E99"/>
    <w:rsid w:val="007E451B"/>
    <w:rsid w:val="007E4946"/>
    <w:rsid w:val="007E4D95"/>
    <w:rsid w:val="007E4F1D"/>
    <w:rsid w:val="007E60F0"/>
    <w:rsid w:val="007E6B4A"/>
    <w:rsid w:val="007E6F56"/>
    <w:rsid w:val="007E706F"/>
    <w:rsid w:val="007E707F"/>
    <w:rsid w:val="007E7F22"/>
    <w:rsid w:val="007F007B"/>
    <w:rsid w:val="007F0641"/>
    <w:rsid w:val="007F13B3"/>
    <w:rsid w:val="007F1411"/>
    <w:rsid w:val="007F1DA0"/>
    <w:rsid w:val="007F23CB"/>
    <w:rsid w:val="007F264F"/>
    <w:rsid w:val="007F2DAE"/>
    <w:rsid w:val="007F2F54"/>
    <w:rsid w:val="007F2F65"/>
    <w:rsid w:val="007F30B6"/>
    <w:rsid w:val="007F4A25"/>
    <w:rsid w:val="007F5819"/>
    <w:rsid w:val="007F6D2F"/>
    <w:rsid w:val="007F7166"/>
    <w:rsid w:val="007F7507"/>
    <w:rsid w:val="007F7ACF"/>
    <w:rsid w:val="007F7C79"/>
    <w:rsid w:val="0080008D"/>
    <w:rsid w:val="008009F2"/>
    <w:rsid w:val="00800A28"/>
    <w:rsid w:val="00801748"/>
    <w:rsid w:val="00803FCE"/>
    <w:rsid w:val="00804E3F"/>
    <w:rsid w:val="00805060"/>
    <w:rsid w:val="00805483"/>
    <w:rsid w:val="008063E1"/>
    <w:rsid w:val="00807044"/>
    <w:rsid w:val="008072E4"/>
    <w:rsid w:val="00811086"/>
    <w:rsid w:val="008113CC"/>
    <w:rsid w:val="00812846"/>
    <w:rsid w:val="008128B7"/>
    <w:rsid w:val="00812F87"/>
    <w:rsid w:val="00813605"/>
    <w:rsid w:val="00814AF7"/>
    <w:rsid w:val="00814C77"/>
    <w:rsid w:val="00816069"/>
    <w:rsid w:val="00816F44"/>
    <w:rsid w:val="00816FCD"/>
    <w:rsid w:val="00817583"/>
    <w:rsid w:val="00820040"/>
    <w:rsid w:val="0082014E"/>
    <w:rsid w:val="00820A92"/>
    <w:rsid w:val="008218D0"/>
    <w:rsid w:val="00821AC0"/>
    <w:rsid w:val="008224A7"/>
    <w:rsid w:val="00822B1E"/>
    <w:rsid w:val="00823A8A"/>
    <w:rsid w:val="00823AFD"/>
    <w:rsid w:val="00823B4B"/>
    <w:rsid w:val="00823F36"/>
    <w:rsid w:val="008251CF"/>
    <w:rsid w:val="00826103"/>
    <w:rsid w:val="00826668"/>
    <w:rsid w:val="00826C8F"/>
    <w:rsid w:val="00826D96"/>
    <w:rsid w:val="00827AD4"/>
    <w:rsid w:val="0083166C"/>
    <w:rsid w:val="008316AC"/>
    <w:rsid w:val="008324AA"/>
    <w:rsid w:val="008331AD"/>
    <w:rsid w:val="008356BF"/>
    <w:rsid w:val="00836AD9"/>
    <w:rsid w:val="00836AF6"/>
    <w:rsid w:val="00837C97"/>
    <w:rsid w:val="00841B12"/>
    <w:rsid w:val="0084204F"/>
    <w:rsid w:val="00842C36"/>
    <w:rsid w:val="00844B0D"/>
    <w:rsid w:val="00844CCA"/>
    <w:rsid w:val="00844F46"/>
    <w:rsid w:val="008467A9"/>
    <w:rsid w:val="00846D31"/>
    <w:rsid w:val="00846F8E"/>
    <w:rsid w:val="00847B8D"/>
    <w:rsid w:val="00847C53"/>
    <w:rsid w:val="00850145"/>
    <w:rsid w:val="0085038F"/>
    <w:rsid w:val="008507DF"/>
    <w:rsid w:val="00850858"/>
    <w:rsid w:val="00850966"/>
    <w:rsid w:val="00850AEC"/>
    <w:rsid w:val="00850B85"/>
    <w:rsid w:val="00851B66"/>
    <w:rsid w:val="00851DF3"/>
    <w:rsid w:val="00852E60"/>
    <w:rsid w:val="00854062"/>
    <w:rsid w:val="00855089"/>
    <w:rsid w:val="0085575A"/>
    <w:rsid w:val="00855A02"/>
    <w:rsid w:val="008563F0"/>
    <w:rsid w:val="008575C8"/>
    <w:rsid w:val="00857AAF"/>
    <w:rsid w:val="0086070D"/>
    <w:rsid w:val="0086148E"/>
    <w:rsid w:val="00861921"/>
    <w:rsid w:val="008624C1"/>
    <w:rsid w:val="0086297B"/>
    <w:rsid w:val="0086397C"/>
    <w:rsid w:val="00864A8B"/>
    <w:rsid w:val="008658E9"/>
    <w:rsid w:val="0086715E"/>
    <w:rsid w:val="00867227"/>
    <w:rsid w:val="00867330"/>
    <w:rsid w:val="00867E22"/>
    <w:rsid w:val="0087023C"/>
    <w:rsid w:val="008702D2"/>
    <w:rsid w:val="0087096F"/>
    <w:rsid w:val="00871A3D"/>
    <w:rsid w:val="00871B62"/>
    <w:rsid w:val="00871F3E"/>
    <w:rsid w:val="00872341"/>
    <w:rsid w:val="00873322"/>
    <w:rsid w:val="00873734"/>
    <w:rsid w:val="008737C9"/>
    <w:rsid w:val="00873E56"/>
    <w:rsid w:val="00874E00"/>
    <w:rsid w:val="00875D05"/>
    <w:rsid w:val="00876108"/>
    <w:rsid w:val="00881208"/>
    <w:rsid w:val="0088132F"/>
    <w:rsid w:val="00881413"/>
    <w:rsid w:val="00881861"/>
    <w:rsid w:val="0088205C"/>
    <w:rsid w:val="00882775"/>
    <w:rsid w:val="00882854"/>
    <w:rsid w:val="00884075"/>
    <w:rsid w:val="00885C57"/>
    <w:rsid w:val="00886202"/>
    <w:rsid w:val="008863D0"/>
    <w:rsid w:val="00886559"/>
    <w:rsid w:val="008866B3"/>
    <w:rsid w:val="008866E3"/>
    <w:rsid w:val="008876CE"/>
    <w:rsid w:val="00887CD8"/>
    <w:rsid w:val="008904D4"/>
    <w:rsid w:val="0089177C"/>
    <w:rsid w:val="00891EC9"/>
    <w:rsid w:val="00892698"/>
    <w:rsid w:val="008928A7"/>
    <w:rsid w:val="00892DE1"/>
    <w:rsid w:val="0089322A"/>
    <w:rsid w:val="00893A9E"/>
    <w:rsid w:val="008942C0"/>
    <w:rsid w:val="00894E2D"/>
    <w:rsid w:val="00895C38"/>
    <w:rsid w:val="008962EF"/>
    <w:rsid w:val="00896FBA"/>
    <w:rsid w:val="008975DD"/>
    <w:rsid w:val="008A095E"/>
    <w:rsid w:val="008A0AC1"/>
    <w:rsid w:val="008A0B82"/>
    <w:rsid w:val="008A0D2B"/>
    <w:rsid w:val="008A1499"/>
    <w:rsid w:val="008A29DB"/>
    <w:rsid w:val="008A2E42"/>
    <w:rsid w:val="008A3A44"/>
    <w:rsid w:val="008A4962"/>
    <w:rsid w:val="008A4C71"/>
    <w:rsid w:val="008A4FEF"/>
    <w:rsid w:val="008A526B"/>
    <w:rsid w:val="008A5607"/>
    <w:rsid w:val="008A5A7E"/>
    <w:rsid w:val="008A5F8E"/>
    <w:rsid w:val="008A6BFF"/>
    <w:rsid w:val="008A745F"/>
    <w:rsid w:val="008A74F3"/>
    <w:rsid w:val="008B0203"/>
    <w:rsid w:val="008B047A"/>
    <w:rsid w:val="008B0AEC"/>
    <w:rsid w:val="008B1A12"/>
    <w:rsid w:val="008B1BFB"/>
    <w:rsid w:val="008B2529"/>
    <w:rsid w:val="008B30A9"/>
    <w:rsid w:val="008B43E1"/>
    <w:rsid w:val="008B4798"/>
    <w:rsid w:val="008B4956"/>
    <w:rsid w:val="008B4A57"/>
    <w:rsid w:val="008B60AB"/>
    <w:rsid w:val="008B6DDB"/>
    <w:rsid w:val="008B6E1B"/>
    <w:rsid w:val="008B71AB"/>
    <w:rsid w:val="008B74D9"/>
    <w:rsid w:val="008B7759"/>
    <w:rsid w:val="008B7C99"/>
    <w:rsid w:val="008B7D50"/>
    <w:rsid w:val="008C0129"/>
    <w:rsid w:val="008C08CD"/>
    <w:rsid w:val="008C091A"/>
    <w:rsid w:val="008C0B10"/>
    <w:rsid w:val="008C0B31"/>
    <w:rsid w:val="008C1BC5"/>
    <w:rsid w:val="008C1C2C"/>
    <w:rsid w:val="008C2F3C"/>
    <w:rsid w:val="008C32E0"/>
    <w:rsid w:val="008C33ED"/>
    <w:rsid w:val="008C3844"/>
    <w:rsid w:val="008C388C"/>
    <w:rsid w:val="008C4333"/>
    <w:rsid w:val="008C4A60"/>
    <w:rsid w:val="008C5A14"/>
    <w:rsid w:val="008C5B0F"/>
    <w:rsid w:val="008C7786"/>
    <w:rsid w:val="008D0075"/>
    <w:rsid w:val="008D1935"/>
    <w:rsid w:val="008D1F1F"/>
    <w:rsid w:val="008D1FDF"/>
    <w:rsid w:val="008D2F42"/>
    <w:rsid w:val="008D3723"/>
    <w:rsid w:val="008D41FA"/>
    <w:rsid w:val="008D44C7"/>
    <w:rsid w:val="008D49F8"/>
    <w:rsid w:val="008D4AB4"/>
    <w:rsid w:val="008D5301"/>
    <w:rsid w:val="008D53A4"/>
    <w:rsid w:val="008D53AD"/>
    <w:rsid w:val="008D6124"/>
    <w:rsid w:val="008D7183"/>
    <w:rsid w:val="008D7C78"/>
    <w:rsid w:val="008E001E"/>
    <w:rsid w:val="008E056A"/>
    <w:rsid w:val="008E06AE"/>
    <w:rsid w:val="008E0FA2"/>
    <w:rsid w:val="008E2293"/>
    <w:rsid w:val="008E29AA"/>
    <w:rsid w:val="008E4422"/>
    <w:rsid w:val="008E45CB"/>
    <w:rsid w:val="008E483E"/>
    <w:rsid w:val="008E5841"/>
    <w:rsid w:val="008E5B7F"/>
    <w:rsid w:val="008E61DC"/>
    <w:rsid w:val="008E61F7"/>
    <w:rsid w:val="008E7073"/>
    <w:rsid w:val="008E74B9"/>
    <w:rsid w:val="008F0529"/>
    <w:rsid w:val="008F1560"/>
    <w:rsid w:val="008F17FA"/>
    <w:rsid w:val="008F223F"/>
    <w:rsid w:val="008F276C"/>
    <w:rsid w:val="008F29E8"/>
    <w:rsid w:val="008F338F"/>
    <w:rsid w:val="008F401F"/>
    <w:rsid w:val="008F4F63"/>
    <w:rsid w:val="008F5276"/>
    <w:rsid w:val="008F57EE"/>
    <w:rsid w:val="008F772F"/>
    <w:rsid w:val="008F7760"/>
    <w:rsid w:val="008F7BC4"/>
    <w:rsid w:val="008F7C00"/>
    <w:rsid w:val="0090006B"/>
    <w:rsid w:val="0090117E"/>
    <w:rsid w:val="009034C6"/>
    <w:rsid w:val="00903D92"/>
    <w:rsid w:val="00903FB5"/>
    <w:rsid w:val="00904429"/>
    <w:rsid w:val="00904E82"/>
    <w:rsid w:val="00905B6B"/>
    <w:rsid w:val="009062BE"/>
    <w:rsid w:val="009076C6"/>
    <w:rsid w:val="009078FC"/>
    <w:rsid w:val="00910869"/>
    <w:rsid w:val="00910B20"/>
    <w:rsid w:val="00910C9F"/>
    <w:rsid w:val="0091250A"/>
    <w:rsid w:val="009133EA"/>
    <w:rsid w:val="00913559"/>
    <w:rsid w:val="009135D6"/>
    <w:rsid w:val="00913B7E"/>
    <w:rsid w:val="0091511B"/>
    <w:rsid w:val="00917027"/>
    <w:rsid w:val="0091736E"/>
    <w:rsid w:val="009175A3"/>
    <w:rsid w:val="00917901"/>
    <w:rsid w:val="00917C5C"/>
    <w:rsid w:val="0092033A"/>
    <w:rsid w:val="00920C04"/>
    <w:rsid w:val="00920CE7"/>
    <w:rsid w:val="00922816"/>
    <w:rsid w:val="0092293D"/>
    <w:rsid w:val="00922D14"/>
    <w:rsid w:val="00923488"/>
    <w:rsid w:val="00923B51"/>
    <w:rsid w:val="0092407F"/>
    <w:rsid w:val="00924C57"/>
    <w:rsid w:val="00925023"/>
    <w:rsid w:val="0092515F"/>
    <w:rsid w:val="009252D3"/>
    <w:rsid w:val="0092571D"/>
    <w:rsid w:val="00927449"/>
    <w:rsid w:val="009275DC"/>
    <w:rsid w:val="0092793E"/>
    <w:rsid w:val="00930034"/>
    <w:rsid w:val="00930B3D"/>
    <w:rsid w:val="009312F8"/>
    <w:rsid w:val="00931D3E"/>
    <w:rsid w:val="00931F7D"/>
    <w:rsid w:val="0093279B"/>
    <w:rsid w:val="00935BDA"/>
    <w:rsid w:val="00937E88"/>
    <w:rsid w:val="00937F7E"/>
    <w:rsid w:val="00941ED0"/>
    <w:rsid w:val="009421FB"/>
    <w:rsid w:val="00942B44"/>
    <w:rsid w:val="0094317E"/>
    <w:rsid w:val="0094372F"/>
    <w:rsid w:val="00943DE6"/>
    <w:rsid w:val="00943FC2"/>
    <w:rsid w:val="00944AB5"/>
    <w:rsid w:val="00945B41"/>
    <w:rsid w:val="00950312"/>
    <w:rsid w:val="00952134"/>
    <w:rsid w:val="00952DC6"/>
    <w:rsid w:val="00953B52"/>
    <w:rsid w:val="00954035"/>
    <w:rsid w:val="0095416F"/>
    <w:rsid w:val="0095449F"/>
    <w:rsid w:val="009551BD"/>
    <w:rsid w:val="0095538F"/>
    <w:rsid w:val="00955659"/>
    <w:rsid w:val="00955AF6"/>
    <w:rsid w:val="009568F0"/>
    <w:rsid w:val="00956C79"/>
    <w:rsid w:val="00957397"/>
    <w:rsid w:val="00957A0B"/>
    <w:rsid w:val="00957EC3"/>
    <w:rsid w:val="00960175"/>
    <w:rsid w:val="00960545"/>
    <w:rsid w:val="0096070E"/>
    <w:rsid w:val="00961634"/>
    <w:rsid w:val="00961850"/>
    <w:rsid w:val="00961953"/>
    <w:rsid w:val="009619B1"/>
    <w:rsid w:val="00961C06"/>
    <w:rsid w:val="009621D7"/>
    <w:rsid w:val="00962437"/>
    <w:rsid w:val="009627BC"/>
    <w:rsid w:val="00962B0A"/>
    <w:rsid w:val="0096354A"/>
    <w:rsid w:val="0096575E"/>
    <w:rsid w:val="00966104"/>
    <w:rsid w:val="009661B5"/>
    <w:rsid w:val="009663E7"/>
    <w:rsid w:val="009666A7"/>
    <w:rsid w:val="009673A4"/>
    <w:rsid w:val="0097048D"/>
    <w:rsid w:val="00971D2B"/>
    <w:rsid w:val="00971EBE"/>
    <w:rsid w:val="00972718"/>
    <w:rsid w:val="0097292C"/>
    <w:rsid w:val="00972ACD"/>
    <w:rsid w:val="009735A4"/>
    <w:rsid w:val="00973C43"/>
    <w:rsid w:val="00974A21"/>
    <w:rsid w:val="00974B8B"/>
    <w:rsid w:val="00976DCC"/>
    <w:rsid w:val="0097753A"/>
    <w:rsid w:val="00977987"/>
    <w:rsid w:val="00977BE7"/>
    <w:rsid w:val="00977E3C"/>
    <w:rsid w:val="0098068B"/>
    <w:rsid w:val="00981A5A"/>
    <w:rsid w:val="009821C9"/>
    <w:rsid w:val="009833D8"/>
    <w:rsid w:val="009837B2"/>
    <w:rsid w:val="00984757"/>
    <w:rsid w:val="009849C2"/>
    <w:rsid w:val="00984A5F"/>
    <w:rsid w:val="00984ECC"/>
    <w:rsid w:val="00984ED7"/>
    <w:rsid w:val="009853DD"/>
    <w:rsid w:val="00985750"/>
    <w:rsid w:val="00985B25"/>
    <w:rsid w:val="00985D4E"/>
    <w:rsid w:val="00985D7C"/>
    <w:rsid w:val="00987336"/>
    <w:rsid w:val="0099099C"/>
    <w:rsid w:val="00990D47"/>
    <w:rsid w:val="00991064"/>
    <w:rsid w:val="00991698"/>
    <w:rsid w:val="00991919"/>
    <w:rsid w:val="00991A4B"/>
    <w:rsid w:val="00993EB5"/>
    <w:rsid w:val="00994DA0"/>
    <w:rsid w:val="00994EE7"/>
    <w:rsid w:val="009964BB"/>
    <w:rsid w:val="00996772"/>
    <w:rsid w:val="00996796"/>
    <w:rsid w:val="00996BD9"/>
    <w:rsid w:val="00997543"/>
    <w:rsid w:val="009975B6"/>
    <w:rsid w:val="009A0230"/>
    <w:rsid w:val="009A0875"/>
    <w:rsid w:val="009A135F"/>
    <w:rsid w:val="009A1471"/>
    <w:rsid w:val="009A1C94"/>
    <w:rsid w:val="009A2F32"/>
    <w:rsid w:val="009A3432"/>
    <w:rsid w:val="009A43F3"/>
    <w:rsid w:val="009A44F4"/>
    <w:rsid w:val="009A485C"/>
    <w:rsid w:val="009A4FAE"/>
    <w:rsid w:val="009A5E72"/>
    <w:rsid w:val="009A64A5"/>
    <w:rsid w:val="009A707D"/>
    <w:rsid w:val="009A7505"/>
    <w:rsid w:val="009A7982"/>
    <w:rsid w:val="009B072A"/>
    <w:rsid w:val="009B09C5"/>
    <w:rsid w:val="009B0A7F"/>
    <w:rsid w:val="009B0FEE"/>
    <w:rsid w:val="009B1ABE"/>
    <w:rsid w:val="009B207F"/>
    <w:rsid w:val="009B3C16"/>
    <w:rsid w:val="009B4266"/>
    <w:rsid w:val="009B479E"/>
    <w:rsid w:val="009B4CA5"/>
    <w:rsid w:val="009B4D61"/>
    <w:rsid w:val="009B4E42"/>
    <w:rsid w:val="009B61AF"/>
    <w:rsid w:val="009B6849"/>
    <w:rsid w:val="009B770F"/>
    <w:rsid w:val="009B7E27"/>
    <w:rsid w:val="009C02E6"/>
    <w:rsid w:val="009C0BBC"/>
    <w:rsid w:val="009C0D7C"/>
    <w:rsid w:val="009C1F54"/>
    <w:rsid w:val="009C21BA"/>
    <w:rsid w:val="009C234A"/>
    <w:rsid w:val="009C2911"/>
    <w:rsid w:val="009C2E5D"/>
    <w:rsid w:val="009C34AF"/>
    <w:rsid w:val="009C39CA"/>
    <w:rsid w:val="009C39D7"/>
    <w:rsid w:val="009C3CE0"/>
    <w:rsid w:val="009C4D21"/>
    <w:rsid w:val="009C551F"/>
    <w:rsid w:val="009C5C71"/>
    <w:rsid w:val="009C602B"/>
    <w:rsid w:val="009C62CC"/>
    <w:rsid w:val="009C64F6"/>
    <w:rsid w:val="009C6E5F"/>
    <w:rsid w:val="009C745B"/>
    <w:rsid w:val="009C793F"/>
    <w:rsid w:val="009C7BF0"/>
    <w:rsid w:val="009D034E"/>
    <w:rsid w:val="009D0485"/>
    <w:rsid w:val="009D139A"/>
    <w:rsid w:val="009D171F"/>
    <w:rsid w:val="009D176B"/>
    <w:rsid w:val="009D4ABE"/>
    <w:rsid w:val="009D570D"/>
    <w:rsid w:val="009D5B5C"/>
    <w:rsid w:val="009D5E49"/>
    <w:rsid w:val="009D7455"/>
    <w:rsid w:val="009D769A"/>
    <w:rsid w:val="009D7C2E"/>
    <w:rsid w:val="009D7F16"/>
    <w:rsid w:val="009E02F5"/>
    <w:rsid w:val="009E064C"/>
    <w:rsid w:val="009E0C27"/>
    <w:rsid w:val="009E0D8B"/>
    <w:rsid w:val="009E11E8"/>
    <w:rsid w:val="009E13AC"/>
    <w:rsid w:val="009E276E"/>
    <w:rsid w:val="009E33F3"/>
    <w:rsid w:val="009E3D4E"/>
    <w:rsid w:val="009E40AF"/>
    <w:rsid w:val="009E5177"/>
    <w:rsid w:val="009E5719"/>
    <w:rsid w:val="009E578C"/>
    <w:rsid w:val="009F000B"/>
    <w:rsid w:val="009F0A13"/>
    <w:rsid w:val="009F28DC"/>
    <w:rsid w:val="009F3185"/>
    <w:rsid w:val="009F3914"/>
    <w:rsid w:val="009F3A26"/>
    <w:rsid w:val="009F3BDF"/>
    <w:rsid w:val="009F443F"/>
    <w:rsid w:val="009F4812"/>
    <w:rsid w:val="009F490D"/>
    <w:rsid w:val="009F4B9F"/>
    <w:rsid w:val="009F544F"/>
    <w:rsid w:val="009F58CC"/>
    <w:rsid w:val="009F58CE"/>
    <w:rsid w:val="009F65E2"/>
    <w:rsid w:val="009F7B59"/>
    <w:rsid w:val="00A00DC9"/>
    <w:rsid w:val="00A00E9C"/>
    <w:rsid w:val="00A01053"/>
    <w:rsid w:val="00A020E2"/>
    <w:rsid w:val="00A03A87"/>
    <w:rsid w:val="00A04C02"/>
    <w:rsid w:val="00A058E2"/>
    <w:rsid w:val="00A05973"/>
    <w:rsid w:val="00A05A0B"/>
    <w:rsid w:val="00A05AC4"/>
    <w:rsid w:val="00A10933"/>
    <w:rsid w:val="00A11782"/>
    <w:rsid w:val="00A12F39"/>
    <w:rsid w:val="00A1338E"/>
    <w:rsid w:val="00A14CA7"/>
    <w:rsid w:val="00A14FF8"/>
    <w:rsid w:val="00A155EF"/>
    <w:rsid w:val="00A15AEB"/>
    <w:rsid w:val="00A15D9F"/>
    <w:rsid w:val="00A16164"/>
    <w:rsid w:val="00A16C16"/>
    <w:rsid w:val="00A20023"/>
    <w:rsid w:val="00A20578"/>
    <w:rsid w:val="00A217D7"/>
    <w:rsid w:val="00A22755"/>
    <w:rsid w:val="00A23D88"/>
    <w:rsid w:val="00A24023"/>
    <w:rsid w:val="00A2423A"/>
    <w:rsid w:val="00A246C5"/>
    <w:rsid w:val="00A24D25"/>
    <w:rsid w:val="00A24EC4"/>
    <w:rsid w:val="00A24F40"/>
    <w:rsid w:val="00A25186"/>
    <w:rsid w:val="00A258F4"/>
    <w:rsid w:val="00A25B96"/>
    <w:rsid w:val="00A26661"/>
    <w:rsid w:val="00A26982"/>
    <w:rsid w:val="00A26EF6"/>
    <w:rsid w:val="00A27335"/>
    <w:rsid w:val="00A27F00"/>
    <w:rsid w:val="00A32B7B"/>
    <w:rsid w:val="00A346C2"/>
    <w:rsid w:val="00A34F85"/>
    <w:rsid w:val="00A3697B"/>
    <w:rsid w:val="00A36C30"/>
    <w:rsid w:val="00A37419"/>
    <w:rsid w:val="00A401FB"/>
    <w:rsid w:val="00A41071"/>
    <w:rsid w:val="00A42490"/>
    <w:rsid w:val="00A42FD2"/>
    <w:rsid w:val="00A43CC4"/>
    <w:rsid w:val="00A4406D"/>
    <w:rsid w:val="00A447E1"/>
    <w:rsid w:val="00A44908"/>
    <w:rsid w:val="00A44C9C"/>
    <w:rsid w:val="00A44F6E"/>
    <w:rsid w:val="00A45DB5"/>
    <w:rsid w:val="00A46F0B"/>
    <w:rsid w:val="00A46FAA"/>
    <w:rsid w:val="00A477E7"/>
    <w:rsid w:val="00A50BF6"/>
    <w:rsid w:val="00A50E61"/>
    <w:rsid w:val="00A51947"/>
    <w:rsid w:val="00A519FB"/>
    <w:rsid w:val="00A52F77"/>
    <w:rsid w:val="00A53418"/>
    <w:rsid w:val="00A54494"/>
    <w:rsid w:val="00A54701"/>
    <w:rsid w:val="00A54E1F"/>
    <w:rsid w:val="00A552FE"/>
    <w:rsid w:val="00A5604A"/>
    <w:rsid w:val="00A56114"/>
    <w:rsid w:val="00A57650"/>
    <w:rsid w:val="00A607B9"/>
    <w:rsid w:val="00A60806"/>
    <w:rsid w:val="00A6081A"/>
    <w:rsid w:val="00A61360"/>
    <w:rsid w:val="00A617A1"/>
    <w:rsid w:val="00A6370E"/>
    <w:rsid w:val="00A6412B"/>
    <w:rsid w:val="00A64A36"/>
    <w:rsid w:val="00A65009"/>
    <w:rsid w:val="00A66D54"/>
    <w:rsid w:val="00A67D41"/>
    <w:rsid w:val="00A707D0"/>
    <w:rsid w:val="00A711BC"/>
    <w:rsid w:val="00A72519"/>
    <w:rsid w:val="00A72706"/>
    <w:rsid w:val="00A72A6A"/>
    <w:rsid w:val="00A72A8F"/>
    <w:rsid w:val="00A733F0"/>
    <w:rsid w:val="00A74565"/>
    <w:rsid w:val="00A74DA4"/>
    <w:rsid w:val="00A759F1"/>
    <w:rsid w:val="00A75A8C"/>
    <w:rsid w:val="00A75DE3"/>
    <w:rsid w:val="00A775F0"/>
    <w:rsid w:val="00A80087"/>
    <w:rsid w:val="00A80914"/>
    <w:rsid w:val="00A80CA8"/>
    <w:rsid w:val="00A81674"/>
    <w:rsid w:val="00A81B28"/>
    <w:rsid w:val="00A81E8E"/>
    <w:rsid w:val="00A82646"/>
    <w:rsid w:val="00A82B9E"/>
    <w:rsid w:val="00A842DF"/>
    <w:rsid w:val="00A84E2D"/>
    <w:rsid w:val="00A852CE"/>
    <w:rsid w:val="00A85340"/>
    <w:rsid w:val="00A8599D"/>
    <w:rsid w:val="00A86244"/>
    <w:rsid w:val="00A86397"/>
    <w:rsid w:val="00A86B20"/>
    <w:rsid w:val="00A870D0"/>
    <w:rsid w:val="00A874D9"/>
    <w:rsid w:val="00A87FAA"/>
    <w:rsid w:val="00A90E47"/>
    <w:rsid w:val="00A90E58"/>
    <w:rsid w:val="00A90EB0"/>
    <w:rsid w:val="00A91320"/>
    <w:rsid w:val="00A921BB"/>
    <w:rsid w:val="00A93CCA"/>
    <w:rsid w:val="00A9440E"/>
    <w:rsid w:val="00A945E5"/>
    <w:rsid w:val="00A959D5"/>
    <w:rsid w:val="00A9673E"/>
    <w:rsid w:val="00A96E6A"/>
    <w:rsid w:val="00AA0157"/>
    <w:rsid w:val="00AA03C7"/>
    <w:rsid w:val="00AA0E49"/>
    <w:rsid w:val="00AA100E"/>
    <w:rsid w:val="00AA11CC"/>
    <w:rsid w:val="00AA1FB8"/>
    <w:rsid w:val="00AA202D"/>
    <w:rsid w:val="00AA56EE"/>
    <w:rsid w:val="00AA5C09"/>
    <w:rsid w:val="00AA60CE"/>
    <w:rsid w:val="00AA7012"/>
    <w:rsid w:val="00AA7320"/>
    <w:rsid w:val="00AB01D3"/>
    <w:rsid w:val="00AB13A0"/>
    <w:rsid w:val="00AB1ED5"/>
    <w:rsid w:val="00AB20DE"/>
    <w:rsid w:val="00AB3D2E"/>
    <w:rsid w:val="00AB44BD"/>
    <w:rsid w:val="00AB52B2"/>
    <w:rsid w:val="00AB592F"/>
    <w:rsid w:val="00AB5E67"/>
    <w:rsid w:val="00AB5FE9"/>
    <w:rsid w:val="00AB615F"/>
    <w:rsid w:val="00AB6409"/>
    <w:rsid w:val="00AB643E"/>
    <w:rsid w:val="00AB69AA"/>
    <w:rsid w:val="00AB738D"/>
    <w:rsid w:val="00AB7BA2"/>
    <w:rsid w:val="00AB7E78"/>
    <w:rsid w:val="00AC0121"/>
    <w:rsid w:val="00AC01BC"/>
    <w:rsid w:val="00AC1506"/>
    <w:rsid w:val="00AC21E4"/>
    <w:rsid w:val="00AC264F"/>
    <w:rsid w:val="00AC2EA5"/>
    <w:rsid w:val="00AC3849"/>
    <w:rsid w:val="00AC39A5"/>
    <w:rsid w:val="00AC3C92"/>
    <w:rsid w:val="00AC45C7"/>
    <w:rsid w:val="00AC4B9A"/>
    <w:rsid w:val="00AC5874"/>
    <w:rsid w:val="00AC644D"/>
    <w:rsid w:val="00AC6899"/>
    <w:rsid w:val="00AC6DE0"/>
    <w:rsid w:val="00AC6E57"/>
    <w:rsid w:val="00AD0082"/>
    <w:rsid w:val="00AD067F"/>
    <w:rsid w:val="00AD0810"/>
    <w:rsid w:val="00AD0C8D"/>
    <w:rsid w:val="00AD0F27"/>
    <w:rsid w:val="00AD33D4"/>
    <w:rsid w:val="00AD37E5"/>
    <w:rsid w:val="00AD458F"/>
    <w:rsid w:val="00AD4719"/>
    <w:rsid w:val="00AD4A33"/>
    <w:rsid w:val="00AD4CB1"/>
    <w:rsid w:val="00AD4D6D"/>
    <w:rsid w:val="00AD543B"/>
    <w:rsid w:val="00AD56C2"/>
    <w:rsid w:val="00AD5BDA"/>
    <w:rsid w:val="00AD6572"/>
    <w:rsid w:val="00AD6E9A"/>
    <w:rsid w:val="00AD7B47"/>
    <w:rsid w:val="00AE00A2"/>
    <w:rsid w:val="00AE315C"/>
    <w:rsid w:val="00AE37AD"/>
    <w:rsid w:val="00AE3BB3"/>
    <w:rsid w:val="00AE440E"/>
    <w:rsid w:val="00AE49D5"/>
    <w:rsid w:val="00AE6569"/>
    <w:rsid w:val="00AE65C5"/>
    <w:rsid w:val="00AE6F9D"/>
    <w:rsid w:val="00AE6FB2"/>
    <w:rsid w:val="00AF2546"/>
    <w:rsid w:val="00AF2B4E"/>
    <w:rsid w:val="00AF35F4"/>
    <w:rsid w:val="00AF4618"/>
    <w:rsid w:val="00AF4F3E"/>
    <w:rsid w:val="00AF52B1"/>
    <w:rsid w:val="00AF6693"/>
    <w:rsid w:val="00AF70E9"/>
    <w:rsid w:val="00AF72E5"/>
    <w:rsid w:val="00AF75E5"/>
    <w:rsid w:val="00B00F63"/>
    <w:rsid w:val="00B022AF"/>
    <w:rsid w:val="00B03AE5"/>
    <w:rsid w:val="00B045A9"/>
    <w:rsid w:val="00B045D6"/>
    <w:rsid w:val="00B054C6"/>
    <w:rsid w:val="00B0551C"/>
    <w:rsid w:val="00B05F30"/>
    <w:rsid w:val="00B06394"/>
    <w:rsid w:val="00B0755C"/>
    <w:rsid w:val="00B07EAE"/>
    <w:rsid w:val="00B10811"/>
    <w:rsid w:val="00B11423"/>
    <w:rsid w:val="00B12D75"/>
    <w:rsid w:val="00B14537"/>
    <w:rsid w:val="00B1487F"/>
    <w:rsid w:val="00B1620D"/>
    <w:rsid w:val="00B17327"/>
    <w:rsid w:val="00B201D3"/>
    <w:rsid w:val="00B20722"/>
    <w:rsid w:val="00B2083B"/>
    <w:rsid w:val="00B20F9F"/>
    <w:rsid w:val="00B21A3A"/>
    <w:rsid w:val="00B21B4C"/>
    <w:rsid w:val="00B2217D"/>
    <w:rsid w:val="00B2225A"/>
    <w:rsid w:val="00B23003"/>
    <w:rsid w:val="00B2395D"/>
    <w:rsid w:val="00B252E6"/>
    <w:rsid w:val="00B2616C"/>
    <w:rsid w:val="00B26763"/>
    <w:rsid w:val="00B2756A"/>
    <w:rsid w:val="00B304F3"/>
    <w:rsid w:val="00B30A97"/>
    <w:rsid w:val="00B30BE1"/>
    <w:rsid w:val="00B30FA2"/>
    <w:rsid w:val="00B311F7"/>
    <w:rsid w:val="00B31327"/>
    <w:rsid w:val="00B335A3"/>
    <w:rsid w:val="00B3605C"/>
    <w:rsid w:val="00B3710D"/>
    <w:rsid w:val="00B37FD3"/>
    <w:rsid w:val="00B40FD8"/>
    <w:rsid w:val="00B4230B"/>
    <w:rsid w:val="00B4274D"/>
    <w:rsid w:val="00B4394B"/>
    <w:rsid w:val="00B445A4"/>
    <w:rsid w:val="00B459F6"/>
    <w:rsid w:val="00B45DB9"/>
    <w:rsid w:val="00B46A75"/>
    <w:rsid w:val="00B47360"/>
    <w:rsid w:val="00B474DB"/>
    <w:rsid w:val="00B475B6"/>
    <w:rsid w:val="00B47610"/>
    <w:rsid w:val="00B47FC4"/>
    <w:rsid w:val="00B50681"/>
    <w:rsid w:val="00B50E45"/>
    <w:rsid w:val="00B50FE6"/>
    <w:rsid w:val="00B51371"/>
    <w:rsid w:val="00B5147F"/>
    <w:rsid w:val="00B51DF4"/>
    <w:rsid w:val="00B548D0"/>
    <w:rsid w:val="00B5492C"/>
    <w:rsid w:val="00B554CE"/>
    <w:rsid w:val="00B569C3"/>
    <w:rsid w:val="00B569E9"/>
    <w:rsid w:val="00B57C32"/>
    <w:rsid w:val="00B61259"/>
    <w:rsid w:val="00B616D7"/>
    <w:rsid w:val="00B61BC9"/>
    <w:rsid w:val="00B62B31"/>
    <w:rsid w:val="00B62C29"/>
    <w:rsid w:val="00B62C35"/>
    <w:rsid w:val="00B639B6"/>
    <w:rsid w:val="00B63ED8"/>
    <w:rsid w:val="00B64C68"/>
    <w:rsid w:val="00B650EF"/>
    <w:rsid w:val="00B6552C"/>
    <w:rsid w:val="00B65661"/>
    <w:rsid w:val="00B66490"/>
    <w:rsid w:val="00B70774"/>
    <w:rsid w:val="00B70A98"/>
    <w:rsid w:val="00B71D75"/>
    <w:rsid w:val="00B7235D"/>
    <w:rsid w:val="00B73063"/>
    <w:rsid w:val="00B7315B"/>
    <w:rsid w:val="00B7404E"/>
    <w:rsid w:val="00B7503C"/>
    <w:rsid w:val="00B75448"/>
    <w:rsid w:val="00B754A9"/>
    <w:rsid w:val="00B75DDB"/>
    <w:rsid w:val="00B761F0"/>
    <w:rsid w:val="00B77098"/>
    <w:rsid w:val="00B77939"/>
    <w:rsid w:val="00B77F00"/>
    <w:rsid w:val="00B801A1"/>
    <w:rsid w:val="00B801E8"/>
    <w:rsid w:val="00B808CA"/>
    <w:rsid w:val="00B80B05"/>
    <w:rsid w:val="00B80F06"/>
    <w:rsid w:val="00B818EB"/>
    <w:rsid w:val="00B81EC5"/>
    <w:rsid w:val="00B82678"/>
    <w:rsid w:val="00B836A3"/>
    <w:rsid w:val="00B843EB"/>
    <w:rsid w:val="00B85DD9"/>
    <w:rsid w:val="00B86435"/>
    <w:rsid w:val="00B86715"/>
    <w:rsid w:val="00B90098"/>
    <w:rsid w:val="00B927A9"/>
    <w:rsid w:val="00B92DBE"/>
    <w:rsid w:val="00B930FA"/>
    <w:rsid w:val="00B93890"/>
    <w:rsid w:val="00B94A7D"/>
    <w:rsid w:val="00B95A4A"/>
    <w:rsid w:val="00B95D11"/>
    <w:rsid w:val="00B97FF7"/>
    <w:rsid w:val="00BA06FB"/>
    <w:rsid w:val="00BA095F"/>
    <w:rsid w:val="00BA0E58"/>
    <w:rsid w:val="00BA11AD"/>
    <w:rsid w:val="00BA132E"/>
    <w:rsid w:val="00BA17F5"/>
    <w:rsid w:val="00BA1BA6"/>
    <w:rsid w:val="00BA26D9"/>
    <w:rsid w:val="00BA3A5B"/>
    <w:rsid w:val="00BA3B1A"/>
    <w:rsid w:val="00BA3C08"/>
    <w:rsid w:val="00BA4D58"/>
    <w:rsid w:val="00BA51FA"/>
    <w:rsid w:val="00BA54F8"/>
    <w:rsid w:val="00BA57FB"/>
    <w:rsid w:val="00BA5CA8"/>
    <w:rsid w:val="00BA6BAC"/>
    <w:rsid w:val="00BA6DC7"/>
    <w:rsid w:val="00BA7A2D"/>
    <w:rsid w:val="00BB0B76"/>
    <w:rsid w:val="00BB0EF5"/>
    <w:rsid w:val="00BB1915"/>
    <w:rsid w:val="00BB19AB"/>
    <w:rsid w:val="00BB2909"/>
    <w:rsid w:val="00BB2A16"/>
    <w:rsid w:val="00BB2D18"/>
    <w:rsid w:val="00BB2D75"/>
    <w:rsid w:val="00BB2F58"/>
    <w:rsid w:val="00BB33B7"/>
    <w:rsid w:val="00BB354E"/>
    <w:rsid w:val="00BB517A"/>
    <w:rsid w:val="00BB55F5"/>
    <w:rsid w:val="00BB5924"/>
    <w:rsid w:val="00BB5978"/>
    <w:rsid w:val="00BB5A84"/>
    <w:rsid w:val="00BB62E1"/>
    <w:rsid w:val="00BB6C4F"/>
    <w:rsid w:val="00BC01B9"/>
    <w:rsid w:val="00BC0DCB"/>
    <w:rsid w:val="00BC2831"/>
    <w:rsid w:val="00BC30DF"/>
    <w:rsid w:val="00BC34C0"/>
    <w:rsid w:val="00BC3625"/>
    <w:rsid w:val="00BC3BF7"/>
    <w:rsid w:val="00BC44D5"/>
    <w:rsid w:val="00BC46C6"/>
    <w:rsid w:val="00BC48EA"/>
    <w:rsid w:val="00BC492F"/>
    <w:rsid w:val="00BC50A6"/>
    <w:rsid w:val="00BC5A3C"/>
    <w:rsid w:val="00BC5C19"/>
    <w:rsid w:val="00BC5E5F"/>
    <w:rsid w:val="00BC7356"/>
    <w:rsid w:val="00BC79CB"/>
    <w:rsid w:val="00BD029F"/>
    <w:rsid w:val="00BD0BF7"/>
    <w:rsid w:val="00BD0FE2"/>
    <w:rsid w:val="00BD1C5B"/>
    <w:rsid w:val="00BD232B"/>
    <w:rsid w:val="00BD2FF4"/>
    <w:rsid w:val="00BD3FCD"/>
    <w:rsid w:val="00BD40BC"/>
    <w:rsid w:val="00BD4A9C"/>
    <w:rsid w:val="00BD4D7B"/>
    <w:rsid w:val="00BD54E7"/>
    <w:rsid w:val="00BD56B6"/>
    <w:rsid w:val="00BD5968"/>
    <w:rsid w:val="00BD6408"/>
    <w:rsid w:val="00BD6585"/>
    <w:rsid w:val="00BD770E"/>
    <w:rsid w:val="00BD7AB2"/>
    <w:rsid w:val="00BE1183"/>
    <w:rsid w:val="00BE13F9"/>
    <w:rsid w:val="00BE1836"/>
    <w:rsid w:val="00BE1C37"/>
    <w:rsid w:val="00BE1F62"/>
    <w:rsid w:val="00BE2746"/>
    <w:rsid w:val="00BE31ED"/>
    <w:rsid w:val="00BE35B2"/>
    <w:rsid w:val="00BE3913"/>
    <w:rsid w:val="00BE546F"/>
    <w:rsid w:val="00BE5FA5"/>
    <w:rsid w:val="00BE628A"/>
    <w:rsid w:val="00BE6C14"/>
    <w:rsid w:val="00BE6DB8"/>
    <w:rsid w:val="00BE749B"/>
    <w:rsid w:val="00BE7C94"/>
    <w:rsid w:val="00BF1F37"/>
    <w:rsid w:val="00BF230D"/>
    <w:rsid w:val="00BF25BD"/>
    <w:rsid w:val="00BF28C6"/>
    <w:rsid w:val="00BF3722"/>
    <w:rsid w:val="00BF3987"/>
    <w:rsid w:val="00BF535C"/>
    <w:rsid w:val="00BF5954"/>
    <w:rsid w:val="00BF62B1"/>
    <w:rsid w:val="00C0018F"/>
    <w:rsid w:val="00C00830"/>
    <w:rsid w:val="00C01155"/>
    <w:rsid w:val="00C03386"/>
    <w:rsid w:val="00C038C4"/>
    <w:rsid w:val="00C03C42"/>
    <w:rsid w:val="00C042F1"/>
    <w:rsid w:val="00C0561E"/>
    <w:rsid w:val="00C060A4"/>
    <w:rsid w:val="00C06F54"/>
    <w:rsid w:val="00C105CA"/>
    <w:rsid w:val="00C110C3"/>
    <w:rsid w:val="00C114C0"/>
    <w:rsid w:val="00C11713"/>
    <w:rsid w:val="00C11E8C"/>
    <w:rsid w:val="00C11FC3"/>
    <w:rsid w:val="00C1283B"/>
    <w:rsid w:val="00C12990"/>
    <w:rsid w:val="00C135BD"/>
    <w:rsid w:val="00C139AC"/>
    <w:rsid w:val="00C13BB9"/>
    <w:rsid w:val="00C13CEF"/>
    <w:rsid w:val="00C1422B"/>
    <w:rsid w:val="00C153E0"/>
    <w:rsid w:val="00C15493"/>
    <w:rsid w:val="00C15E54"/>
    <w:rsid w:val="00C16A23"/>
    <w:rsid w:val="00C17472"/>
    <w:rsid w:val="00C2015A"/>
    <w:rsid w:val="00C204E2"/>
    <w:rsid w:val="00C21B62"/>
    <w:rsid w:val="00C21EC0"/>
    <w:rsid w:val="00C2332E"/>
    <w:rsid w:val="00C244C3"/>
    <w:rsid w:val="00C245D8"/>
    <w:rsid w:val="00C248CC"/>
    <w:rsid w:val="00C24D5F"/>
    <w:rsid w:val="00C24F14"/>
    <w:rsid w:val="00C25026"/>
    <w:rsid w:val="00C25954"/>
    <w:rsid w:val="00C25D82"/>
    <w:rsid w:val="00C26360"/>
    <w:rsid w:val="00C27BD1"/>
    <w:rsid w:val="00C27F12"/>
    <w:rsid w:val="00C301C8"/>
    <w:rsid w:val="00C30647"/>
    <w:rsid w:val="00C30BBA"/>
    <w:rsid w:val="00C310A6"/>
    <w:rsid w:val="00C31442"/>
    <w:rsid w:val="00C31BA7"/>
    <w:rsid w:val="00C31BD9"/>
    <w:rsid w:val="00C322B4"/>
    <w:rsid w:val="00C3297C"/>
    <w:rsid w:val="00C33020"/>
    <w:rsid w:val="00C334FB"/>
    <w:rsid w:val="00C339D9"/>
    <w:rsid w:val="00C34A03"/>
    <w:rsid w:val="00C357F9"/>
    <w:rsid w:val="00C35F85"/>
    <w:rsid w:val="00C36640"/>
    <w:rsid w:val="00C366F5"/>
    <w:rsid w:val="00C36A4A"/>
    <w:rsid w:val="00C36C45"/>
    <w:rsid w:val="00C37358"/>
    <w:rsid w:val="00C376A5"/>
    <w:rsid w:val="00C37A23"/>
    <w:rsid w:val="00C37BF2"/>
    <w:rsid w:val="00C400B2"/>
    <w:rsid w:val="00C4059B"/>
    <w:rsid w:val="00C41339"/>
    <w:rsid w:val="00C4186C"/>
    <w:rsid w:val="00C42A1B"/>
    <w:rsid w:val="00C42B23"/>
    <w:rsid w:val="00C431E5"/>
    <w:rsid w:val="00C4407E"/>
    <w:rsid w:val="00C44114"/>
    <w:rsid w:val="00C441DC"/>
    <w:rsid w:val="00C4498E"/>
    <w:rsid w:val="00C44DDC"/>
    <w:rsid w:val="00C45C0A"/>
    <w:rsid w:val="00C4630D"/>
    <w:rsid w:val="00C46C58"/>
    <w:rsid w:val="00C47785"/>
    <w:rsid w:val="00C47FC2"/>
    <w:rsid w:val="00C50577"/>
    <w:rsid w:val="00C50891"/>
    <w:rsid w:val="00C50B5D"/>
    <w:rsid w:val="00C5111D"/>
    <w:rsid w:val="00C51BF5"/>
    <w:rsid w:val="00C5476F"/>
    <w:rsid w:val="00C55BCE"/>
    <w:rsid w:val="00C56008"/>
    <w:rsid w:val="00C56688"/>
    <w:rsid w:val="00C5671C"/>
    <w:rsid w:val="00C569ED"/>
    <w:rsid w:val="00C56D79"/>
    <w:rsid w:val="00C56F80"/>
    <w:rsid w:val="00C57249"/>
    <w:rsid w:val="00C572F5"/>
    <w:rsid w:val="00C5753A"/>
    <w:rsid w:val="00C57558"/>
    <w:rsid w:val="00C57A55"/>
    <w:rsid w:val="00C57E0F"/>
    <w:rsid w:val="00C57FF5"/>
    <w:rsid w:val="00C60B17"/>
    <w:rsid w:val="00C60CB3"/>
    <w:rsid w:val="00C61388"/>
    <w:rsid w:val="00C61758"/>
    <w:rsid w:val="00C63B38"/>
    <w:rsid w:val="00C63C08"/>
    <w:rsid w:val="00C63CC6"/>
    <w:rsid w:val="00C64C61"/>
    <w:rsid w:val="00C65DA8"/>
    <w:rsid w:val="00C66104"/>
    <w:rsid w:val="00C668D4"/>
    <w:rsid w:val="00C669DC"/>
    <w:rsid w:val="00C67391"/>
    <w:rsid w:val="00C7066B"/>
    <w:rsid w:val="00C70C52"/>
    <w:rsid w:val="00C717C0"/>
    <w:rsid w:val="00C7188C"/>
    <w:rsid w:val="00C71B29"/>
    <w:rsid w:val="00C71B80"/>
    <w:rsid w:val="00C71D5C"/>
    <w:rsid w:val="00C73A93"/>
    <w:rsid w:val="00C73C43"/>
    <w:rsid w:val="00C73EBB"/>
    <w:rsid w:val="00C746D0"/>
    <w:rsid w:val="00C7496B"/>
    <w:rsid w:val="00C74D2F"/>
    <w:rsid w:val="00C76397"/>
    <w:rsid w:val="00C77712"/>
    <w:rsid w:val="00C80097"/>
    <w:rsid w:val="00C80251"/>
    <w:rsid w:val="00C80680"/>
    <w:rsid w:val="00C80B2A"/>
    <w:rsid w:val="00C82426"/>
    <w:rsid w:val="00C824A8"/>
    <w:rsid w:val="00C84436"/>
    <w:rsid w:val="00C84439"/>
    <w:rsid w:val="00C84639"/>
    <w:rsid w:val="00C85E26"/>
    <w:rsid w:val="00C8747A"/>
    <w:rsid w:val="00C9079E"/>
    <w:rsid w:val="00C9130F"/>
    <w:rsid w:val="00C919AF"/>
    <w:rsid w:val="00C91C22"/>
    <w:rsid w:val="00C91F6C"/>
    <w:rsid w:val="00C923AF"/>
    <w:rsid w:val="00C9324D"/>
    <w:rsid w:val="00C935DF"/>
    <w:rsid w:val="00C94400"/>
    <w:rsid w:val="00C94682"/>
    <w:rsid w:val="00C94D56"/>
    <w:rsid w:val="00C97283"/>
    <w:rsid w:val="00CA0061"/>
    <w:rsid w:val="00CA0310"/>
    <w:rsid w:val="00CA10A8"/>
    <w:rsid w:val="00CA1331"/>
    <w:rsid w:val="00CA1ABE"/>
    <w:rsid w:val="00CA2282"/>
    <w:rsid w:val="00CA4EE5"/>
    <w:rsid w:val="00CA4F65"/>
    <w:rsid w:val="00CA5D22"/>
    <w:rsid w:val="00CA7694"/>
    <w:rsid w:val="00CA7EF3"/>
    <w:rsid w:val="00CB3F59"/>
    <w:rsid w:val="00CB498E"/>
    <w:rsid w:val="00CB51B2"/>
    <w:rsid w:val="00CB538D"/>
    <w:rsid w:val="00CB539F"/>
    <w:rsid w:val="00CB6E57"/>
    <w:rsid w:val="00CB79A9"/>
    <w:rsid w:val="00CB7CCA"/>
    <w:rsid w:val="00CC2526"/>
    <w:rsid w:val="00CC26A7"/>
    <w:rsid w:val="00CC3BF0"/>
    <w:rsid w:val="00CC3CD1"/>
    <w:rsid w:val="00CC462B"/>
    <w:rsid w:val="00CC4869"/>
    <w:rsid w:val="00CC4A96"/>
    <w:rsid w:val="00CC59B6"/>
    <w:rsid w:val="00CC59F4"/>
    <w:rsid w:val="00CC6EE7"/>
    <w:rsid w:val="00CC75F6"/>
    <w:rsid w:val="00CC76AE"/>
    <w:rsid w:val="00CD14D8"/>
    <w:rsid w:val="00CD19C6"/>
    <w:rsid w:val="00CD22B8"/>
    <w:rsid w:val="00CD34D6"/>
    <w:rsid w:val="00CD37A6"/>
    <w:rsid w:val="00CD4146"/>
    <w:rsid w:val="00CD5B00"/>
    <w:rsid w:val="00CD5F9E"/>
    <w:rsid w:val="00CD68C8"/>
    <w:rsid w:val="00CD68FE"/>
    <w:rsid w:val="00CD6EE8"/>
    <w:rsid w:val="00CD768D"/>
    <w:rsid w:val="00CD79B7"/>
    <w:rsid w:val="00CE0723"/>
    <w:rsid w:val="00CE0953"/>
    <w:rsid w:val="00CE0969"/>
    <w:rsid w:val="00CE14EA"/>
    <w:rsid w:val="00CE1F86"/>
    <w:rsid w:val="00CE21E4"/>
    <w:rsid w:val="00CE3A54"/>
    <w:rsid w:val="00CE4106"/>
    <w:rsid w:val="00CE43A6"/>
    <w:rsid w:val="00CE4BA6"/>
    <w:rsid w:val="00CE50C5"/>
    <w:rsid w:val="00CE6542"/>
    <w:rsid w:val="00CE65DD"/>
    <w:rsid w:val="00CE6690"/>
    <w:rsid w:val="00CE66A7"/>
    <w:rsid w:val="00CE6F65"/>
    <w:rsid w:val="00CE79B6"/>
    <w:rsid w:val="00CF0257"/>
    <w:rsid w:val="00CF10BF"/>
    <w:rsid w:val="00CF1D44"/>
    <w:rsid w:val="00CF23CC"/>
    <w:rsid w:val="00CF2CCA"/>
    <w:rsid w:val="00CF324E"/>
    <w:rsid w:val="00CF38DF"/>
    <w:rsid w:val="00CF54AF"/>
    <w:rsid w:val="00CF57FA"/>
    <w:rsid w:val="00CF5F93"/>
    <w:rsid w:val="00CF61EF"/>
    <w:rsid w:val="00CF7252"/>
    <w:rsid w:val="00CF7B4B"/>
    <w:rsid w:val="00CF7CA4"/>
    <w:rsid w:val="00D018D2"/>
    <w:rsid w:val="00D02C32"/>
    <w:rsid w:val="00D03CC5"/>
    <w:rsid w:val="00D0790C"/>
    <w:rsid w:val="00D07955"/>
    <w:rsid w:val="00D10D4F"/>
    <w:rsid w:val="00D1104A"/>
    <w:rsid w:val="00D111BA"/>
    <w:rsid w:val="00D11ADD"/>
    <w:rsid w:val="00D12D79"/>
    <w:rsid w:val="00D1485B"/>
    <w:rsid w:val="00D148B9"/>
    <w:rsid w:val="00D14917"/>
    <w:rsid w:val="00D14B76"/>
    <w:rsid w:val="00D1570B"/>
    <w:rsid w:val="00D15956"/>
    <w:rsid w:val="00D204E0"/>
    <w:rsid w:val="00D20A4A"/>
    <w:rsid w:val="00D22202"/>
    <w:rsid w:val="00D226C3"/>
    <w:rsid w:val="00D23B09"/>
    <w:rsid w:val="00D23E26"/>
    <w:rsid w:val="00D243C3"/>
    <w:rsid w:val="00D30951"/>
    <w:rsid w:val="00D312AD"/>
    <w:rsid w:val="00D31327"/>
    <w:rsid w:val="00D318FE"/>
    <w:rsid w:val="00D319A6"/>
    <w:rsid w:val="00D31B95"/>
    <w:rsid w:val="00D31E2E"/>
    <w:rsid w:val="00D31F49"/>
    <w:rsid w:val="00D32140"/>
    <w:rsid w:val="00D33402"/>
    <w:rsid w:val="00D345E2"/>
    <w:rsid w:val="00D34697"/>
    <w:rsid w:val="00D34844"/>
    <w:rsid w:val="00D34964"/>
    <w:rsid w:val="00D34C29"/>
    <w:rsid w:val="00D363DE"/>
    <w:rsid w:val="00D36792"/>
    <w:rsid w:val="00D36AB5"/>
    <w:rsid w:val="00D36B1C"/>
    <w:rsid w:val="00D3730C"/>
    <w:rsid w:val="00D37FBB"/>
    <w:rsid w:val="00D40B20"/>
    <w:rsid w:val="00D41E81"/>
    <w:rsid w:val="00D41EF7"/>
    <w:rsid w:val="00D4253F"/>
    <w:rsid w:val="00D428D4"/>
    <w:rsid w:val="00D43598"/>
    <w:rsid w:val="00D4387D"/>
    <w:rsid w:val="00D44214"/>
    <w:rsid w:val="00D448F6"/>
    <w:rsid w:val="00D467CA"/>
    <w:rsid w:val="00D46C67"/>
    <w:rsid w:val="00D47658"/>
    <w:rsid w:val="00D477AD"/>
    <w:rsid w:val="00D50BEC"/>
    <w:rsid w:val="00D50D52"/>
    <w:rsid w:val="00D50FA5"/>
    <w:rsid w:val="00D51954"/>
    <w:rsid w:val="00D52C33"/>
    <w:rsid w:val="00D5481B"/>
    <w:rsid w:val="00D54885"/>
    <w:rsid w:val="00D55CE6"/>
    <w:rsid w:val="00D55DB8"/>
    <w:rsid w:val="00D5619D"/>
    <w:rsid w:val="00D5630B"/>
    <w:rsid w:val="00D56D5F"/>
    <w:rsid w:val="00D56F6E"/>
    <w:rsid w:val="00D57C10"/>
    <w:rsid w:val="00D60953"/>
    <w:rsid w:val="00D60F60"/>
    <w:rsid w:val="00D61227"/>
    <w:rsid w:val="00D6156B"/>
    <w:rsid w:val="00D61822"/>
    <w:rsid w:val="00D6197C"/>
    <w:rsid w:val="00D620E4"/>
    <w:rsid w:val="00D63046"/>
    <w:rsid w:val="00D64217"/>
    <w:rsid w:val="00D64262"/>
    <w:rsid w:val="00D6473B"/>
    <w:rsid w:val="00D64F7B"/>
    <w:rsid w:val="00D652DD"/>
    <w:rsid w:val="00D65756"/>
    <w:rsid w:val="00D66675"/>
    <w:rsid w:val="00D66BD4"/>
    <w:rsid w:val="00D66C67"/>
    <w:rsid w:val="00D66D34"/>
    <w:rsid w:val="00D66DC3"/>
    <w:rsid w:val="00D66EE3"/>
    <w:rsid w:val="00D67B03"/>
    <w:rsid w:val="00D67FDE"/>
    <w:rsid w:val="00D70137"/>
    <w:rsid w:val="00D70568"/>
    <w:rsid w:val="00D7103F"/>
    <w:rsid w:val="00D71567"/>
    <w:rsid w:val="00D71F73"/>
    <w:rsid w:val="00D72DBD"/>
    <w:rsid w:val="00D74698"/>
    <w:rsid w:val="00D7495D"/>
    <w:rsid w:val="00D7553D"/>
    <w:rsid w:val="00D75EAC"/>
    <w:rsid w:val="00D76178"/>
    <w:rsid w:val="00D77222"/>
    <w:rsid w:val="00D80543"/>
    <w:rsid w:val="00D80A62"/>
    <w:rsid w:val="00D811CE"/>
    <w:rsid w:val="00D81B3C"/>
    <w:rsid w:val="00D81D5F"/>
    <w:rsid w:val="00D81D92"/>
    <w:rsid w:val="00D82664"/>
    <w:rsid w:val="00D826F9"/>
    <w:rsid w:val="00D8448E"/>
    <w:rsid w:val="00D8508F"/>
    <w:rsid w:val="00D8619A"/>
    <w:rsid w:val="00D86EEA"/>
    <w:rsid w:val="00D8703F"/>
    <w:rsid w:val="00D87446"/>
    <w:rsid w:val="00D90BE0"/>
    <w:rsid w:val="00D90C63"/>
    <w:rsid w:val="00D91E7E"/>
    <w:rsid w:val="00D920AE"/>
    <w:rsid w:val="00D926F7"/>
    <w:rsid w:val="00D934E3"/>
    <w:rsid w:val="00D941DE"/>
    <w:rsid w:val="00D95BCE"/>
    <w:rsid w:val="00D961A1"/>
    <w:rsid w:val="00D961D3"/>
    <w:rsid w:val="00D963CF"/>
    <w:rsid w:val="00D96E81"/>
    <w:rsid w:val="00D9772B"/>
    <w:rsid w:val="00DA0A50"/>
    <w:rsid w:val="00DA1DF6"/>
    <w:rsid w:val="00DA1F1C"/>
    <w:rsid w:val="00DA25F9"/>
    <w:rsid w:val="00DA29A2"/>
    <w:rsid w:val="00DA2B77"/>
    <w:rsid w:val="00DA366E"/>
    <w:rsid w:val="00DA3895"/>
    <w:rsid w:val="00DA3D25"/>
    <w:rsid w:val="00DA3DF7"/>
    <w:rsid w:val="00DA3E76"/>
    <w:rsid w:val="00DA5056"/>
    <w:rsid w:val="00DA5A80"/>
    <w:rsid w:val="00DA633D"/>
    <w:rsid w:val="00DA67B6"/>
    <w:rsid w:val="00DA7368"/>
    <w:rsid w:val="00DA7F3A"/>
    <w:rsid w:val="00DB0046"/>
    <w:rsid w:val="00DB0DF7"/>
    <w:rsid w:val="00DB22E2"/>
    <w:rsid w:val="00DB256F"/>
    <w:rsid w:val="00DB2A3F"/>
    <w:rsid w:val="00DB2C33"/>
    <w:rsid w:val="00DB3394"/>
    <w:rsid w:val="00DB37FD"/>
    <w:rsid w:val="00DB3831"/>
    <w:rsid w:val="00DB4644"/>
    <w:rsid w:val="00DB6707"/>
    <w:rsid w:val="00DB6A40"/>
    <w:rsid w:val="00DB72D8"/>
    <w:rsid w:val="00DB7BF9"/>
    <w:rsid w:val="00DB7C4C"/>
    <w:rsid w:val="00DB7EA1"/>
    <w:rsid w:val="00DC0B63"/>
    <w:rsid w:val="00DC2476"/>
    <w:rsid w:val="00DC326B"/>
    <w:rsid w:val="00DC3519"/>
    <w:rsid w:val="00DC3569"/>
    <w:rsid w:val="00DC3B9E"/>
    <w:rsid w:val="00DC3BE4"/>
    <w:rsid w:val="00DC4BA1"/>
    <w:rsid w:val="00DC595F"/>
    <w:rsid w:val="00DC6CFF"/>
    <w:rsid w:val="00DC744D"/>
    <w:rsid w:val="00DC74C2"/>
    <w:rsid w:val="00DC79AE"/>
    <w:rsid w:val="00DD081D"/>
    <w:rsid w:val="00DD15B8"/>
    <w:rsid w:val="00DD1645"/>
    <w:rsid w:val="00DD1859"/>
    <w:rsid w:val="00DD19C1"/>
    <w:rsid w:val="00DD1B37"/>
    <w:rsid w:val="00DD2E21"/>
    <w:rsid w:val="00DD3165"/>
    <w:rsid w:val="00DD3C61"/>
    <w:rsid w:val="00DD4EB6"/>
    <w:rsid w:val="00DD5841"/>
    <w:rsid w:val="00DD6B26"/>
    <w:rsid w:val="00DD7653"/>
    <w:rsid w:val="00DE03D9"/>
    <w:rsid w:val="00DE1514"/>
    <w:rsid w:val="00DE1A37"/>
    <w:rsid w:val="00DE1B58"/>
    <w:rsid w:val="00DE296D"/>
    <w:rsid w:val="00DE2FE8"/>
    <w:rsid w:val="00DE3169"/>
    <w:rsid w:val="00DE3C5D"/>
    <w:rsid w:val="00DE420C"/>
    <w:rsid w:val="00DE4AE4"/>
    <w:rsid w:val="00DE56A9"/>
    <w:rsid w:val="00DE5732"/>
    <w:rsid w:val="00DE6A1A"/>
    <w:rsid w:val="00DE6D84"/>
    <w:rsid w:val="00DE6FFB"/>
    <w:rsid w:val="00DF11DE"/>
    <w:rsid w:val="00DF16CA"/>
    <w:rsid w:val="00DF1EC7"/>
    <w:rsid w:val="00DF26A2"/>
    <w:rsid w:val="00DF3501"/>
    <w:rsid w:val="00DF3D6F"/>
    <w:rsid w:val="00DF6989"/>
    <w:rsid w:val="00DF76C2"/>
    <w:rsid w:val="00DF780B"/>
    <w:rsid w:val="00E006B5"/>
    <w:rsid w:val="00E0142A"/>
    <w:rsid w:val="00E0158E"/>
    <w:rsid w:val="00E01672"/>
    <w:rsid w:val="00E01755"/>
    <w:rsid w:val="00E01930"/>
    <w:rsid w:val="00E0207B"/>
    <w:rsid w:val="00E024F1"/>
    <w:rsid w:val="00E02A2F"/>
    <w:rsid w:val="00E02CCB"/>
    <w:rsid w:val="00E02D89"/>
    <w:rsid w:val="00E034CF"/>
    <w:rsid w:val="00E03903"/>
    <w:rsid w:val="00E03BFE"/>
    <w:rsid w:val="00E04151"/>
    <w:rsid w:val="00E06815"/>
    <w:rsid w:val="00E0690B"/>
    <w:rsid w:val="00E073BA"/>
    <w:rsid w:val="00E07648"/>
    <w:rsid w:val="00E0786A"/>
    <w:rsid w:val="00E0793C"/>
    <w:rsid w:val="00E07EE4"/>
    <w:rsid w:val="00E1077E"/>
    <w:rsid w:val="00E10EE6"/>
    <w:rsid w:val="00E115AC"/>
    <w:rsid w:val="00E11D0C"/>
    <w:rsid w:val="00E11F2E"/>
    <w:rsid w:val="00E12BEC"/>
    <w:rsid w:val="00E139CB"/>
    <w:rsid w:val="00E13E10"/>
    <w:rsid w:val="00E14858"/>
    <w:rsid w:val="00E14CCD"/>
    <w:rsid w:val="00E15088"/>
    <w:rsid w:val="00E152C5"/>
    <w:rsid w:val="00E153CF"/>
    <w:rsid w:val="00E16995"/>
    <w:rsid w:val="00E16F72"/>
    <w:rsid w:val="00E17E53"/>
    <w:rsid w:val="00E2009B"/>
    <w:rsid w:val="00E200A4"/>
    <w:rsid w:val="00E20BDE"/>
    <w:rsid w:val="00E20F9B"/>
    <w:rsid w:val="00E210F5"/>
    <w:rsid w:val="00E215C8"/>
    <w:rsid w:val="00E22D29"/>
    <w:rsid w:val="00E2328F"/>
    <w:rsid w:val="00E23780"/>
    <w:rsid w:val="00E23FC0"/>
    <w:rsid w:val="00E2411C"/>
    <w:rsid w:val="00E2453A"/>
    <w:rsid w:val="00E25446"/>
    <w:rsid w:val="00E263F5"/>
    <w:rsid w:val="00E26747"/>
    <w:rsid w:val="00E27200"/>
    <w:rsid w:val="00E27500"/>
    <w:rsid w:val="00E2756C"/>
    <w:rsid w:val="00E30288"/>
    <w:rsid w:val="00E30BF8"/>
    <w:rsid w:val="00E314C1"/>
    <w:rsid w:val="00E317DF"/>
    <w:rsid w:val="00E31F2E"/>
    <w:rsid w:val="00E3258D"/>
    <w:rsid w:val="00E33426"/>
    <w:rsid w:val="00E33B45"/>
    <w:rsid w:val="00E343FF"/>
    <w:rsid w:val="00E352AD"/>
    <w:rsid w:val="00E3538B"/>
    <w:rsid w:val="00E353E5"/>
    <w:rsid w:val="00E357EE"/>
    <w:rsid w:val="00E3771E"/>
    <w:rsid w:val="00E37841"/>
    <w:rsid w:val="00E40BD0"/>
    <w:rsid w:val="00E414FE"/>
    <w:rsid w:val="00E416E1"/>
    <w:rsid w:val="00E41B9F"/>
    <w:rsid w:val="00E42942"/>
    <w:rsid w:val="00E44E07"/>
    <w:rsid w:val="00E453B4"/>
    <w:rsid w:val="00E4611D"/>
    <w:rsid w:val="00E4784D"/>
    <w:rsid w:val="00E4793B"/>
    <w:rsid w:val="00E507D9"/>
    <w:rsid w:val="00E50994"/>
    <w:rsid w:val="00E51982"/>
    <w:rsid w:val="00E51AEC"/>
    <w:rsid w:val="00E52033"/>
    <w:rsid w:val="00E520CE"/>
    <w:rsid w:val="00E5234E"/>
    <w:rsid w:val="00E559B3"/>
    <w:rsid w:val="00E55C8A"/>
    <w:rsid w:val="00E56779"/>
    <w:rsid w:val="00E56C87"/>
    <w:rsid w:val="00E56EAE"/>
    <w:rsid w:val="00E57159"/>
    <w:rsid w:val="00E572C4"/>
    <w:rsid w:val="00E6019E"/>
    <w:rsid w:val="00E602E2"/>
    <w:rsid w:val="00E606A7"/>
    <w:rsid w:val="00E61AFF"/>
    <w:rsid w:val="00E6223A"/>
    <w:rsid w:val="00E635F4"/>
    <w:rsid w:val="00E64242"/>
    <w:rsid w:val="00E64280"/>
    <w:rsid w:val="00E64389"/>
    <w:rsid w:val="00E64612"/>
    <w:rsid w:val="00E64821"/>
    <w:rsid w:val="00E6569A"/>
    <w:rsid w:val="00E66260"/>
    <w:rsid w:val="00E669A8"/>
    <w:rsid w:val="00E66A98"/>
    <w:rsid w:val="00E670E3"/>
    <w:rsid w:val="00E6716E"/>
    <w:rsid w:val="00E672EC"/>
    <w:rsid w:val="00E678F7"/>
    <w:rsid w:val="00E67AA2"/>
    <w:rsid w:val="00E702AC"/>
    <w:rsid w:val="00E71063"/>
    <w:rsid w:val="00E7308D"/>
    <w:rsid w:val="00E736D1"/>
    <w:rsid w:val="00E73B1F"/>
    <w:rsid w:val="00E7400B"/>
    <w:rsid w:val="00E7453A"/>
    <w:rsid w:val="00E74E63"/>
    <w:rsid w:val="00E75800"/>
    <w:rsid w:val="00E75EA5"/>
    <w:rsid w:val="00E767E5"/>
    <w:rsid w:val="00E779B7"/>
    <w:rsid w:val="00E77A64"/>
    <w:rsid w:val="00E77A79"/>
    <w:rsid w:val="00E80BE1"/>
    <w:rsid w:val="00E80F80"/>
    <w:rsid w:val="00E81BF5"/>
    <w:rsid w:val="00E82660"/>
    <w:rsid w:val="00E82ACB"/>
    <w:rsid w:val="00E82ADC"/>
    <w:rsid w:val="00E836CD"/>
    <w:rsid w:val="00E846A3"/>
    <w:rsid w:val="00E846F8"/>
    <w:rsid w:val="00E8506D"/>
    <w:rsid w:val="00E85F71"/>
    <w:rsid w:val="00E868D4"/>
    <w:rsid w:val="00E87655"/>
    <w:rsid w:val="00E877AE"/>
    <w:rsid w:val="00E87DD3"/>
    <w:rsid w:val="00E900C4"/>
    <w:rsid w:val="00E91975"/>
    <w:rsid w:val="00E91BC4"/>
    <w:rsid w:val="00E92762"/>
    <w:rsid w:val="00E92B9C"/>
    <w:rsid w:val="00E9536D"/>
    <w:rsid w:val="00E96044"/>
    <w:rsid w:val="00E96979"/>
    <w:rsid w:val="00E96A34"/>
    <w:rsid w:val="00E97769"/>
    <w:rsid w:val="00E97A27"/>
    <w:rsid w:val="00E97D58"/>
    <w:rsid w:val="00EA031E"/>
    <w:rsid w:val="00EA086F"/>
    <w:rsid w:val="00EA0899"/>
    <w:rsid w:val="00EA0F56"/>
    <w:rsid w:val="00EA0FD5"/>
    <w:rsid w:val="00EA13BA"/>
    <w:rsid w:val="00EA1662"/>
    <w:rsid w:val="00EA1F56"/>
    <w:rsid w:val="00EA265B"/>
    <w:rsid w:val="00EA3134"/>
    <w:rsid w:val="00EA34D1"/>
    <w:rsid w:val="00EA35C7"/>
    <w:rsid w:val="00EA37AC"/>
    <w:rsid w:val="00EA3F5B"/>
    <w:rsid w:val="00EA48C8"/>
    <w:rsid w:val="00EA5453"/>
    <w:rsid w:val="00EA566E"/>
    <w:rsid w:val="00EA6959"/>
    <w:rsid w:val="00EA6C6E"/>
    <w:rsid w:val="00EA6D15"/>
    <w:rsid w:val="00EA776C"/>
    <w:rsid w:val="00EB03E4"/>
    <w:rsid w:val="00EB0990"/>
    <w:rsid w:val="00EB16B2"/>
    <w:rsid w:val="00EB2532"/>
    <w:rsid w:val="00EB2ED8"/>
    <w:rsid w:val="00EB341D"/>
    <w:rsid w:val="00EB3740"/>
    <w:rsid w:val="00EB39B4"/>
    <w:rsid w:val="00EB3DA7"/>
    <w:rsid w:val="00EB3EE7"/>
    <w:rsid w:val="00EB401F"/>
    <w:rsid w:val="00EB50F0"/>
    <w:rsid w:val="00EB58A5"/>
    <w:rsid w:val="00EB62B8"/>
    <w:rsid w:val="00EB63C9"/>
    <w:rsid w:val="00EB6455"/>
    <w:rsid w:val="00EB6781"/>
    <w:rsid w:val="00EB6D9F"/>
    <w:rsid w:val="00EB74D7"/>
    <w:rsid w:val="00EB78D8"/>
    <w:rsid w:val="00EB79E1"/>
    <w:rsid w:val="00EB7AAE"/>
    <w:rsid w:val="00EB7FCE"/>
    <w:rsid w:val="00EC0050"/>
    <w:rsid w:val="00EC08ED"/>
    <w:rsid w:val="00EC0EC0"/>
    <w:rsid w:val="00EC1BCA"/>
    <w:rsid w:val="00EC20F5"/>
    <w:rsid w:val="00EC2D64"/>
    <w:rsid w:val="00EC377F"/>
    <w:rsid w:val="00EC3BE2"/>
    <w:rsid w:val="00EC42EE"/>
    <w:rsid w:val="00EC483D"/>
    <w:rsid w:val="00EC48D1"/>
    <w:rsid w:val="00EC4F70"/>
    <w:rsid w:val="00EC56BD"/>
    <w:rsid w:val="00EC59A0"/>
    <w:rsid w:val="00EC61C9"/>
    <w:rsid w:val="00EC696C"/>
    <w:rsid w:val="00EC6C38"/>
    <w:rsid w:val="00EC707B"/>
    <w:rsid w:val="00ED039D"/>
    <w:rsid w:val="00ED1613"/>
    <w:rsid w:val="00ED204B"/>
    <w:rsid w:val="00ED21FE"/>
    <w:rsid w:val="00ED279E"/>
    <w:rsid w:val="00ED2A9C"/>
    <w:rsid w:val="00ED40E2"/>
    <w:rsid w:val="00ED5D6B"/>
    <w:rsid w:val="00ED71F1"/>
    <w:rsid w:val="00EE1031"/>
    <w:rsid w:val="00EE10E0"/>
    <w:rsid w:val="00EE1921"/>
    <w:rsid w:val="00EE2080"/>
    <w:rsid w:val="00EE271C"/>
    <w:rsid w:val="00EE38C8"/>
    <w:rsid w:val="00EE48F5"/>
    <w:rsid w:val="00EE52DF"/>
    <w:rsid w:val="00EE5E93"/>
    <w:rsid w:val="00EE754C"/>
    <w:rsid w:val="00EF0908"/>
    <w:rsid w:val="00EF0D50"/>
    <w:rsid w:val="00EF1519"/>
    <w:rsid w:val="00EF1700"/>
    <w:rsid w:val="00EF1944"/>
    <w:rsid w:val="00EF2AD4"/>
    <w:rsid w:val="00EF5115"/>
    <w:rsid w:val="00EF516A"/>
    <w:rsid w:val="00EF529C"/>
    <w:rsid w:val="00EF5A18"/>
    <w:rsid w:val="00EF5CE1"/>
    <w:rsid w:val="00EF6349"/>
    <w:rsid w:val="00EF74BC"/>
    <w:rsid w:val="00EF77B2"/>
    <w:rsid w:val="00EF79D0"/>
    <w:rsid w:val="00F00B41"/>
    <w:rsid w:val="00F01B5B"/>
    <w:rsid w:val="00F02359"/>
    <w:rsid w:val="00F0284F"/>
    <w:rsid w:val="00F0285B"/>
    <w:rsid w:val="00F02A14"/>
    <w:rsid w:val="00F03212"/>
    <w:rsid w:val="00F03487"/>
    <w:rsid w:val="00F03B21"/>
    <w:rsid w:val="00F04E67"/>
    <w:rsid w:val="00F04F2F"/>
    <w:rsid w:val="00F050D9"/>
    <w:rsid w:val="00F058A4"/>
    <w:rsid w:val="00F065FD"/>
    <w:rsid w:val="00F06CC2"/>
    <w:rsid w:val="00F078D4"/>
    <w:rsid w:val="00F07DEF"/>
    <w:rsid w:val="00F11A28"/>
    <w:rsid w:val="00F138AD"/>
    <w:rsid w:val="00F148A4"/>
    <w:rsid w:val="00F153ED"/>
    <w:rsid w:val="00F1579F"/>
    <w:rsid w:val="00F15F18"/>
    <w:rsid w:val="00F164B3"/>
    <w:rsid w:val="00F16D67"/>
    <w:rsid w:val="00F17580"/>
    <w:rsid w:val="00F17BDF"/>
    <w:rsid w:val="00F21388"/>
    <w:rsid w:val="00F21581"/>
    <w:rsid w:val="00F2197B"/>
    <w:rsid w:val="00F219EB"/>
    <w:rsid w:val="00F225A3"/>
    <w:rsid w:val="00F225ED"/>
    <w:rsid w:val="00F236A2"/>
    <w:rsid w:val="00F24215"/>
    <w:rsid w:val="00F2544C"/>
    <w:rsid w:val="00F27308"/>
    <w:rsid w:val="00F273B9"/>
    <w:rsid w:val="00F27603"/>
    <w:rsid w:val="00F3006C"/>
    <w:rsid w:val="00F3099A"/>
    <w:rsid w:val="00F31104"/>
    <w:rsid w:val="00F31E50"/>
    <w:rsid w:val="00F32EE3"/>
    <w:rsid w:val="00F33A2E"/>
    <w:rsid w:val="00F33EE6"/>
    <w:rsid w:val="00F34863"/>
    <w:rsid w:val="00F34A58"/>
    <w:rsid w:val="00F35956"/>
    <w:rsid w:val="00F35AFA"/>
    <w:rsid w:val="00F35C6D"/>
    <w:rsid w:val="00F36E38"/>
    <w:rsid w:val="00F37230"/>
    <w:rsid w:val="00F37A66"/>
    <w:rsid w:val="00F405F8"/>
    <w:rsid w:val="00F40600"/>
    <w:rsid w:val="00F4077C"/>
    <w:rsid w:val="00F40DB6"/>
    <w:rsid w:val="00F41194"/>
    <w:rsid w:val="00F4141C"/>
    <w:rsid w:val="00F41AB8"/>
    <w:rsid w:val="00F42DC5"/>
    <w:rsid w:val="00F42E10"/>
    <w:rsid w:val="00F43E46"/>
    <w:rsid w:val="00F453D5"/>
    <w:rsid w:val="00F458C7"/>
    <w:rsid w:val="00F45A2D"/>
    <w:rsid w:val="00F46ECF"/>
    <w:rsid w:val="00F474A5"/>
    <w:rsid w:val="00F50837"/>
    <w:rsid w:val="00F50C8A"/>
    <w:rsid w:val="00F52527"/>
    <w:rsid w:val="00F52DFB"/>
    <w:rsid w:val="00F54E29"/>
    <w:rsid w:val="00F5532E"/>
    <w:rsid w:val="00F55D61"/>
    <w:rsid w:val="00F56A15"/>
    <w:rsid w:val="00F56B8E"/>
    <w:rsid w:val="00F56CA0"/>
    <w:rsid w:val="00F57220"/>
    <w:rsid w:val="00F60E5F"/>
    <w:rsid w:val="00F611CD"/>
    <w:rsid w:val="00F6221B"/>
    <w:rsid w:val="00F62522"/>
    <w:rsid w:val="00F6275C"/>
    <w:rsid w:val="00F629D9"/>
    <w:rsid w:val="00F62BA2"/>
    <w:rsid w:val="00F6363F"/>
    <w:rsid w:val="00F63822"/>
    <w:rsid w:val="00F638D4"/>
    <w:rsid w:val="00F63D70"/>
    <w:rsid w:val="00F63F77"/>
    <w:rsid w:val="00F65041"/>
    <w:rsid w:val="00F655AB"/>
    <w:rsid w:val="00F65653"/>
    <w:rsid w:val="00F65C60"/>
    <w:rsid w:val="00F65FA9"/>
    <w:rsid w:val="00F669B4"/>
    <w:rsid w:val="00F66B11"/>
    <w:rsid w:val="00F674B9"/>
    <w:rsid w:val="00F70148"/>
    <w:rsid w:val="00F70921"/>
    <w:rsid w:val="00F70A0E"/>
    <w:rsid w:val="00F712AD"/>
    <w:rsid w:val="00F713CF"/>
    <w:rsid w:val="00F718DB"/>
    <w:rsid w:val="00F71EA8"/>
    <w:rsid w:val="00F71FB6"/>
    <w:rsid w:val="00F72238"/>
    <w:rsid w:val="00F7278A"/>
    <w:rsid w:val="00F72A2B"/>
    <w:rsid w:val="00F73F95"/>
    <w:rsid w:val="00F73FAF"/>
    <w:rsid w:val="00F7416C"/>
    <w:rsid w:val="00F74BA4"/>
    <w:rsid w:val="00F751C2"/>
    <w:rsid w:val="00F75211"/>
    <w:rsid w:val="00F7545E"/>
    <w:rsid w:val="00F7610B"/>
    <w:rsid w:val="00F76322"/>
    <w:rsid w:val="00F76669"/>
    <w:rsid w:val="00F76F31"/>
    <w:rsid w:val="00F800D4"/>
    <w:rsid w:val="00F80A54"/>
    <w:rsid w:val="00F80D47"/>
    <w:rsid w:val="00F819F8"/>
    <w:rsid w:val="00F81A12"/>
    <w:rsid w:val="00F81DDF"/>
    <w:rsid w:val="00F82943"/>
    <w:rsid w:val="00F8352F"/>
    <w:rsid w:val="00F83B3E"/>
    <w:rsid w:val="00F83F22"/>
    <w:rsid w:val="00F840BB"/>
    <w:rsid w:val="00F861E4"/>
    <w:rsid w:val="00F86DDB"/>
    <w:rsid w:val="00F86F45"/>
    <w:rsid w:val="00F8714D"/>
    <w:rsid w:val="00F877F6"/>
    <w:rsid w:val="00F90090"/>
    <w:rsid w:val="00F928E5"/>
    <w:rsid w:val="00F92E27"/>
    <w:rsid w:val="00F933B1"/>
    <w:rsid w:val="00F93A1F"/>
    <w:rsid w:val="00F93D74"/>
    <w:rsid w:val="00F95229"/>
    <w:rsid w:val="00F95946"/>
    <w:rsid w:val="00F966C5"/>
    <w:rsid w:val="00F973BC"/>
    <w:rsid w:val="00F97677"/>
    <w:rsid w:val="00F977DA"/>
    <w:rsid w:val="00F97928"/>
    <w:rsid w:val="00F97C14"/>
    <w:rsid w:val="00FA0A08"/>
    <w:rsid w:val="00FA17E4"/>
    <w:rsid w:val="00FA1AA5"/>
    <w:rsid w:val="00FA24FF"/>
    <w:rsid w:val="00FA2EBC"/>
    <w:rsid w:val="00FA34D4"/>
    <w:rsid w:val="00FA3597"/>
    <w:rsid w:val="00FA4254"/>
    <w:rsid w:val="00FA6026"/>
    <w:rsid w:val="00FA61F6"/>
    <w:rsid w:val="00FA6976"/>
    <w:rsid w:val="00FA7128"/>
    <w:rsid w:val="00FA7268"/>
    <w:rsid w:val="00FA7929"/>
    <w:rsid w:val="00FA7D9C"/>
    <w:rsid w:val="00FB1DB9"/>
    <w:rsid w:val="00FB2271"/>
    <w:rsid w:val="00FB2E05"/>
    <w:rsid w:val="00FB33E8"/>
    <w:rsid w:val="00FB35CD"/>
    <w:rsid w:val="00FB3AA2"/>
    <w:rsid w:val="00FB4C3F"/>
    <w:rsid w:val="00FB563E"/>
    <w:rsid w:val="00FB68A7"/>
    <w:rsid w:val="00FB6C61"/>
    <w:rsid w:val="00FC0584"/>
    <w:rsid w:val="00FC0605"/>
    <w:rsid w:val="00FC0740"/>
    <w:rsid w:val="00FC1028"/>
    <w:rsid w:val="00FC1466"/>
    <w:rsid w:val="00FC1D1F"/>
    <w:rsid w:val="00FC2222"/>
    <w:rsid w:val="00FC2A96"/>
    <w:rsid w:val="00FC2D03"/>
    <w:rsid w:val="00FC2F94"/>
    <w:rsid w:val="00FC3031"/>
    <w:rsid w:val="00FC3FF1"/>
    <w:rsid w:val="00FC41F6"/>
    <w:rsid w:val="00FC4E7D"/>
    <w:rsid w:val="00FC5691"/>
    <w:rsid w:val="00FC61AD"/>
    <w:rsid w:val="00FC61DE"/>
    <w:rsid w:val="00FC707F"/>
    <w:rsid w:val="00FC7686"/>
    <w:rsid w:val="00FC79F7"/>
    <w:rsid w:val="00FC7C09"/>
    <w:rsid w:val="00FD056F"/>
    <w:rsid w:val="00FD05D9"/>
    <w:rsid w:val="00FD0AA4"/>
    <w:rsid w:val="00FD121D"/>
    <w:rsid w:val="00FD1506"/>
    <w:rsid w:val="00FD163F"/>
    <w:rsid w:val="00FD24D0"/>
    <w:rsid w:val="00FD3179"/>
    <w:rsid w:val="00FD35DF"/>
    <w:rsid w:val="00FD42FD"/>
    <w:rsid w:val="00FD49BE"/>
    <w:rsid w:val="00FD65BA"/>
    <w:rsid w:val="00FD68CD"/>
    <w:rsid w:val="00FD7710"/>
    <w:rsid w:val="00FD7C3D"/>
    <w:rsid w:val="00FE197B"/>
    <w:rsid w:val="00FE1A47"/>
    <w:rsid w:val="00FE2E9A"/>
    <w:rsid w:val="00FE3171"/>
    <w:rsid w:val="00FE34E4"/>
    <w:rsid w:val="00FE3E59"/>
    <w:rsid w:val="00FE4BB6"/>
    <w:rsid w:val="00FE4D0B"/>
    <w:rsid w:val="00FE4DBA"/>
    <w:rsid w:val="00FE4F9B"/>
    <w:rsid w:val="00FE5E9F"/>
    <w:rsid w:val="00FE5F9F"/>
    <w:rsid w:val="00FE7391"/>
    <w:rsid w:val="00FE7DB8"/>
    <w:rsid w:val="00FF0208"/>
    <w:rsid w:val="00FF04B9"/>
    <w:rsid w:val="00FF09A2"/>
    <w:rsid w:val="00FF0BD5"/>
    <w:rsid w:val="00FF160F"/>
    <w:rsid w:val="00FF24DE"/>
    <w:rsid w:val="00FF3506"/>
    <w:rsid w:val="00FF39C1"/>
    <w:rsid w:val="00FF503F"/>
    <w:rsid w:val="00FF5104"/>
    <w:rsid w:val="00FF596C"/>
    <w:rsid w:val="00FF5C98"/>
    <w:rsid w:val="00FF5F73"/>
    <w:rsid w:val="00FF69CA"/>
    <w:rsid w:val="00FF7B30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691EF"/>
  <w15:docId w15:val="{3D98A53F-5F61-4B62-A335-99F32B0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D61"/>
    <w:pPr>
      <w:spacing w:after="0" w:line="240" w:lineRule="auto"/>
      <w:jc w:val="both"/>
    </w:pPr>
    <w:rPr>
      <w:rFonts w:ascii="Times New Roman" w:eastAsiaTheme="minorEastAsia" w:hAnsi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25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4BA9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0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64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7769"/>
    <w:pPr>
      <w:ind w:left="720"/>
      <w:contextualSpacing/>
    </w:pPr>
    <w:rPr>
      <w:rFonts w:eastAsiaTheme="minorHAnsi"/>
      <w:sz w:val="16"/>
      <w:szCs w:val="22"/>
      <w:lang w:eastAsia="en-US"/>
    </w:rPr>
  </w:style>
  <w:style w:type="paragraph" w:customStyle="1" w:styleId="Default">
    <w:name w:val="Default"/>
    <w:rsid w:val="00D435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4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D68CD"/>
    <w:pPr>
      <w:spacing w:before="100" w:beforeAutospacing="1" w:after="100" w:afterAutospacing="1"/>
    </w:pPr>
    <w:rPr>
      <w:rFonts w:cs="Times New Roman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5E1C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5E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5E1C"/>
    <w:rPr>
      <w:vertAlign w:val="superscript"/>
    </w:rPr>
  </w:style>
  <w:style w:type="table" w:styleId="Cuadrculaclara-nfasis1">
    <w:name w:val="Light Grid Accent 1"/>
    <w:basedOn w:val="Tablanormal"/>
    <w:uiPriority w:val="62"/>
    <w:rsid w:val="000B5E1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5">
    <w:name w:val="Light Shading Accent 5"/>
    <w:basedOn w:val="Tablanormal"/>
    <w:uiPriority w:val="60"/>
    <w:rsid w:val="000B5E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0B5E1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B5E1C"/>
  </w:style>
  <w:style w:type="paragraph" w:styleId="Ttulo">
    <w:name w:val="Title"/>
    <w:basedOn w:val="Normal"/>
    <w:next w:val="Normal"/>
    <w:link w:val="TtuloCar"/>
    <w:uiPriority w:val="10"/>
    <w:qFormat/>
    <w:rsid w:val="003258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character" w:customStyle="1" w:styleId="TtuloCar">
    <w:name w:val="Título Car"/>
    <w:basedOn w:val="Fuentedeprrafopredeter"/>
    <w:link w:val="Ttulo"/>
    <w:uiPriority w:val="10"/>
    <w:rsid w:val="0032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paragraph" w:styleId="Subttulo">
    <w:name w:val="Subtitle"/>
    <w:basedOn w:val="Normal"/>
    <w:next w:val="Normal"/>
    <w:link w:val="SubttuloCar"/>
    <w:uiPriority w:val="11"/>
    <w:qFormat/>
    <w:rsid w:val="0032588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GT"/>
    </w:rPr>
  </w:style>
  <w:style w:type="character" w:customStyle="1" w:styleId="SubttuloCar">
    <w:name w:val="Subtítulo Car"/>
    <w:basedOn w:val="Fuentedeprrafopredeter"/>
    <w:link w:val="Subttulo"/>
    <w:uiPriority w:val="11"/>
    <w:rsid w:val="003258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325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588B"/>
    <w:pPr>
      <w:spacing w:line="276" w:lineRule="auto"/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94050"/>
    <w:pPr>
      <w:tabs>
        <w:tab w:val="left" w:pos="440"/>
        <w:tab w:val="right" w:leader="dot" w:pos="9394"/>
      </w:tabs>
      <w:spacing w:after="100"/>
    </w:pPr>
    <w:rPr>
      <w:rFonts w:eastAsiaTheme="majorEastAsia" w:cs="Times New Roman"/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4409D"/>
    <w:pPr>
      <w:tabs>
        <w:tab w:val="left" w:pos="880"/>
        <w:tab w:val="right" w:leader="dot" w:pos="9356"/>
      </w:tabs>
      <w:spacing w:after="100"/>
      <w:ind w:left="709" w:hanging="567"/>
    </w:pPr>
  </w:style>
  <w:style w:type="character" w:styleId="Hipervnculo">
    <w:name w:val="Hyperlink"/>
    <w:basedOn w:val="Fuentedeprrafopredeter"/>
    <w:uiPriority w:val="99"/>
    <w:unhideWhenUsed/>
    <w:rsid w:val="003258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9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931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04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paragraph" w:customStyle="1" w:styleId="Ttulo11">
    <w:name w:val="Título 11"/>
    <w:basedOn w:val="Normal"/>
    <w:rsid w:val="000C0470"/>
    <w:pPr>
      <w:numPr>
        <w:numId w:val="23"/>
      </w:numPr>
    </w:pPr>
  </w:style>
  <w:style w:type="paragraph" w:customStyle="1" w:styleId="Ttulo21">
    <w:name w:val="Título 21"/>
    <w:basedOn w:val="Normal"/>
    <w:rsid w:val="000C0470"/>
    <w:pPr>
      <w:numPr>
        <w:ilvl w:val="1"/>
        <w:numId w:val="23"/>
      </w:numPr>
    </w:pPr>
  </w:style>
  <w:style w:type="paragraph" w:customStyle="1" w:styleId="Ttulo31">
    <w:name w:val="Título 31"/>
    <w:basedOn w:val="Normal"/>
    <w:rsid w:val="000C0470"/>
    <w:pPr>
      <w:numPr>
        <w:ilvl w:val="2"/>
        <w:numId w:val="23"/>
      </w:numPr>
    </w:pPr>
  </w:style>
  <w:style w:type="paragraph" w:customStyle="1" w:styleId="Ttulo41">
    <w:name w:val="Título 41"/>
    <w:basedOn w:val="Normal"/>
    <w:rsid w:val="000C0470"/>
    <w:pPr>
      <w:numPr>
        <w:ilvl w:val="3"/>
        <w:numId w:val="23"/>
      </w:numPr>
    </w:pPr>
  </w:style>
  <w:style w:type="paragraph" w:customStyle="1" w:styleId="Ttulo51">
    <w:name w:val="Título 51"/>
    <w:basedOn w:val="Normal"/>
    <w:rsid w:val="000C0470"/>
    <w:pPr>
      <w:numPr>
        <w:ilvl w:val="4"/>
        <w:numId w:val="23"/>
      </w:numPr>
    </w:pPr>
  </w:style>
  <w:style w:type="paragraph" w:customStyle="1" w:styleId="Ttulo61">
    <w:name w:val="Título 61"/>
    <w:basedOn w:val="Normal"/>
    <w:rsid w:val="000C0470"/>
    <w:pPr>
      <w:numPr>
        <w:ilvl w:val="5"/>
        <w:numId w:val="23"/>
      </w:numPr>
    </w:pPr>
  </w:style>
  <w:style w:type="paragraph" w:customStyle="1" w:styleId="Ttulo71">
    <w:name w:val="Título 71"/>
    <w:basedOn w:val="Normal"/>
    <w:rsid w:val="000C0470"/>
    <w:pPr>
      <w:numPr>
        <w:ilvl w:val="6"/>
        <w:numId w:val="23"/>
      </w:numPr>
    </w:pPr>
  </w:style>
  <w:style w:type="paragraph" w:customStyle="1" w:styleId="Ttulo81">
    <w:name w:val="Título 81"/>
    <w:basedOn w:val="Normal"/>
    <w:rsid w:val="000C0470"/>
    <w:pPr>
      <w:numPr>
        <w:ilvl w:val="7"/>
        <w:numId w:val="23"/>
      </w:numPr>
    </w:pPr>
  </w:style>
  <w:style w:type="paragraph" w:customStyle="1" w:styleId="Ttulo91">
    <w:name w:val="Título 91"/>
    <w:basedOn w:val="Normal"/>
    <w:rsid w:val="000C0470"/>
    <w:pPr>
      <w:numPr>
        <w:ilvl w:val="8"/>
        <w:numId w:val="23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54409D"/>
    <w:pPr>
      <w:tabs>
        <w:tab w:val="left" w:pos="1134"/>
        <w:tab w:val="right" w:leader="dot" w:pos="9394"/>
      </w:tabs>
      <w:spacing w:after="100"/>
      <w:ind w:left="1134" w:hanging="708"/>
    </w:pPr>
  </w:style>
  <w:style w:type="paragraph" w:customStyle="1" w:styleId="BodyText2Sgl">
    <w:name w:val="Body Text 2 Sgl"/>
    <w:basedOn w:val="Normal"/>
    <w:qFormat/>
    <w:rsid w:val="00EE52DF"/>
    <w:pPr>
      <w:spacing w:after="240"/>
      <w:ind w:firstLine="720"/>
    </w:pPr>
    <w:rPr>
      <w:rFonts w:eastAsiaTheme="minorHAnsi"/>
      <w:sz w:val="20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EE52DF"/>
    <w:pPr>
      <w:spacing w:after="120" w:line="259" w:lineRule="auto"/>
    </w:pPr>
    <w:rPr>
      <w:rFonts w:eastAsiaTheme="minorHAnsi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52DF"/>
  </w:style>
  <w:style w:type="character" w:styleId="Refdecomentario">
    <w:name w:val="annotation reference"/>
    <w:basedOn w:val="Fuentedeprrafopredeter"/>
    <w:uiPriority w:val="99"/>
    <w:semiHidden/>
    <w:unhideWhenUsed/>
    <w:rsid w:val="00082E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65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65"/>
    <w:rPr>
      <w:rFonts w:eastAsiaTheme="minorEastAsia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54409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normal3">
    <w:name w:val="Plain Table 3"/>
    <w:basedOn w:val="Tablanormal"/>
    <w:uiPriority w:val="43"/>
    <w:rsid w:val="00FD31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D317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B0F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Layout" Target="diagrams/layout2.xml"/><Relationship Id="rId26" Type="http://schemas.openxmlformats.org/officeDocument/2006/relationships/chart" Target="charts/chart4.xml"/><Relationship Id="rId39" Type="http://schemas.openxmlformats.org/officeDocument/2006/relationships/diagramLayout" Target="diagrams/layout4.xml"/><Relationship Id="rId21" Type="http://schemas.microsoft.com/office/2007/relationships/diagramDrawing" Target="diagrams/drawing2.xml"/><Relationship Id="rId34" Type="http://schemas.openxmlformats.org/officeDocument/2006/relationships/chart" Target="charts/chart7.xml"/><Relationship Id="rId42" Type="http://schemas.microsoft.com/office/2007/relationships/diagramDrawing" Target="diagrams/drawing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2.xml"/><Relationship Id="rId32" Type="http://schemas.microsoft.com/office/2007/relationships/diagramDrawing" Target="diagrams/drawing3.xml"/><Relationship Id="rId37" Type="http://schemas.openxmlformats.org/officeDocument/2006/relationships/chart" Target="charts/chart10.xml"/><Relationship Id="rId40" Type="http://schemas.openxmlformats.org/officeDocument/2006/relationships/diagramQuickStyle" Target="diagrams/quickStyle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28" Type="http://schemas.openxmlformats.org/officeDocument/2006/relationships/diagramData" Target="diagrams/data3.xml"/><Relationship Id="rId36" Type="http://schemas.openxmlformats.org/officeDocument/2006/relationships/chart" Target="charts/chart9.xml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3.xml"/><Relationship Id="rId44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chart" Target="charts/chart5.xml"/><Relationship Id="rId30" Type="http://schemas.openxmlformats.org/officeDocument/2006/relationships/diagramQuickStyle" Target="diagrams/quickStyle3.xml"/><Relationship Id="rId35" Type="http://schemas.openxmlformats.org/officeDocument/2006/relationships/chart" Target="charts/chart8.xml"/><Relationship Id="rId43" Type="http://schemas.openxmlformats.org/officeDocument/2006/relationships/chart" Target="charts/chart11.xml"/><Relationship Id="rId48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footer" Target="footer2.xml"/><Relationship Id="rId33" Type="http://schemas.openxmlformats.org/officeDocument/2006/relationships/chart" Target="charts/chart6.xml"/><Relationship Id="rId38" Type="http://schemas.openxmlformats.org/officeDocument/2006/relationships/diagramData" Target="diagrams/data4.xml"/><Relationship Id="rId46" Type="http://schemas.openxmlformats.org/officeDocument/2006/relationships/diagramLayout" Target="diagrams/layout5.xml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/>
              <a:t>Ingresos</a:t>
            </a:r>
            <a:r>
              <a:rPr lang="es-GT" sz="1200" baseline="0"/>
              <a:t> Totales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100" baseline="0"/>
              <a:t>Variación interanual acumulada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000" b="0" baseline="0"/>
              <a:t>En porcentajes</a:t>
            </a:r>
            <a:endParaRPr lang="es-GT" sz="1000" b="0"/>
          </a:p>
        </c:rich>
      </c:tx>
      <c:layout>
        <c:manualLayout>
          <c:xMode val="edge"/>
          <c:yMode val="edge"/>
          <c:x val="0.126197802197802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3235858294544528"/>
          <c:w val="1"/>
          <c:h val="0.46508156771721665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Hoja1!$D$2:$D$4</c:f>
              <c:numCache>
                <c:formatCode>#,##0.0_ ;[Red]\-#,##0.0\ </c:formatCode>
                <c:ptCount val="3"/>
                <c:pt idx="0">
                  <c:v>4.8602299376198088</c:v>
                </c:pt>
                <c:pt idx="1">
                  <c:v>4.0985048319102768</c:v>
                </c:pt>
                <c:pt idx="2">
                  <c:v>4.7041206272829816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D9-4984-901D-E1114F265272}"/>
            </c:ext>
          </c:extLst>
        </c:ser>
        <c:ser>
          <c:idx val="1"/>
          <c:order val="2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#,##0.0_ ;[Red]\-#,##0.0\ </c:formatCode>
                <c:ptCount val="3"/>
                <c:pt idx="0">
                  <c:v>9.3979182442180953</c:v>
                </c:pt>
                <c:pt idx="1">
                  <c:v>8.9608554268839846</c:v>
                </c:pt>
                <c:pt idx="2">
                  <c:v>-3.027054181871891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3.9263822791381887E-2"/>
                  <c:y val="-6.6740791504081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8F-4D19-9CDB-2A18BD344173}"/>
                </c:ext>
              </c:extLst>
            </c:dLbl>
            <c:dLbl>
              <c:idx val="1"/>
              <c:layout>
                <c:manualLayout>
                  <c:x val="-3.0472614000173055E-2"/>
                  <c:y val="3.3910481438488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8F-4D19-9CDB-2A18BD344173}"/>
                </c:ext>
              </c:extLst>
            </c:dLbl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Hoja1!$B$2:$B$4</c:f>
              <c:numCache>
                <c:formatCode>#,##0.0_ ;[Red]\-#,##0.0\ </c:formatCode>
                <c:ptCount val="3"/>
                <c:pt idx="0">
                  <c:v>3.6356053670852928</c:v>
                </c:pt>
                <c:pt idx="1">
                  <c:v>5.7623590352918752</c:v>
                </c:pt>
                <c:pt idx="2">
                  <c:v>19.909285641408459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5145314527991693"/>
          <c:y val="0.24830251722359115"/>
          <c:w val="0.6715112918577486"/>
          <c:h val="9.3024651601927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>
                <a:solidFill>
                  <a:schemeClr val="tx1"/>
                </a:solidFill>
              </a:rPr>
              <a:t>Por tipo de intrumento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sz="900" b="1">
                <a:solidFill>
                  <a:schemeClr val="tx1"/>
                </a:solidFill>
              </a:rPr>
              <a:t>Cifra acumulada a marzo</a:t>
            </a:r>
          </a:p>
        </c:rich>
      </c:tx>
      <c:layout>
        <c:manualLayout>
          <c:xMode val="edge"/>
          <c:yMode val="edge"/>
          <c:x val="0.24247808794645748"/>
          <c:y val="4.45359290718581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25251005099568136"/>
          <c:y val="0.19398945997891995"/>
          <c:w val="0.62538678428964134"/>
          <c:h val="0.70011036022072048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Diciembre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44-4C92-821A-7F028F1FD3E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44-4C92-821A-7F028F1FD3E9}"/>
              </c:ext>
            </c:extLst>
          </c:dPt>
          <c:dLbls>
            <c:dLbl>
              <c:idx val="0"/>
              <c:layout>
                <c:manualLayout>
                  <c:x val="9.1368659594063248E-17"/>
                  <c:y val="-8.908222326311364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44-4C92-821A-7F028F1FD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Titulos de Deuda</c:v>
                </c:pt>
                <c:pt idx="1">
                  <c:v>Prestamos</c:v>
                </c:pt>
              </c:strCache>
            </c:strRef>
          </c:cat>
          <c:val>
            <c:numRef>
              <c:f>Hoja1!$B$2:$B$3</c:f>
              <c:numCache>
                <c:formatCode>#,##0.0_ ;[Red]\-#,##0.0\ </c:formatCode>
                <c:ptCount val="2"/>
                <c:pt idx="0">
                  <c:v>6764.2634159199997</c:v>
                </c:pt>
                <c:pt idx="1">
                  <c:v>-836.80716221000012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5-4ECC-B1F9-B9EE3AEC1E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9"/>
        <c:overlap val="-48"/>
        <c:axId val="152972768"/>
        <c:axId val="152984368"/>
      </c:barChart>
      <c:catAx>
        <c:axId val="15297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84368"/>
        <c:crosses val="autoZero"/>
        <c:auto val="1"/>
        <c:lblAlgn val="ctr"/>
        <c:lblOffset val="100"/>
        <c:noMultiLvlLbl val="0"/>
      </c:catAx>
      <c:valAx>
        <c:axId val="152984368"/>
        <c:scaling>
          <c:orientation val="minMax"/>
          <c:min val="-5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 b="1" i="0" baseline="0">
                <a:effectLst/>
              </a:rPr>
              <a:t>Erogaciones por Función del Gobierno</a:t>
            </a:r>
            <a:endParaRPr lang="es-GT" sz="12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100" b="1" i="0" baseline="0">
                <a:effectLst/>
              </a:rPr>
              <a:t>Variaciones interanuales acumuladas a marzo* </a:t>
            </a:r>
            <a:endParaRPr lang="es-GT" sz="11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394675925925925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31064468503937009"/>
          <c:y val="0.19109388954133122"/>
          <c:w val="0.68935531496062996"/>
          <c:h val="0.73906126815161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6362600682854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BB-49CE-83E4-15D5528D2963}"/>
                </c:ext>
              </c:extLst>
            </c:dLbl>
            <c:dLbl>
              <c:idx val="3"/>
              <c:layout>
                <c:manualLayout>
                  <c:x val="0"/>
                  <c:y val="1.3233348037053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E0-47F1-A594-C215B7391A35}"/>
                </c:ext>
              </c:extLst>
            </c:dLbl>
            <c:dLbl>
              <c:idx val="9"/>
              <c:layout>
                <c:manualLayout>
                  <c:x val="-6.9444444444444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C4-4D68-B0B8-B61B55BCB51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Salud </c:v>
                </c:pt>
                <c:pt idx="1">
                  <c:v>Asuntos económicos </c:v>
                </c:pt>
                <c:pt idx="2">
                  <c:v>Servicios públicos generales </c:v>
                </c:pt>
                <c:pt idx="3">
                  <c:v>Defensa </c:v>
                </c:pt>
                <c:pt idx="4">
                  <c:v>Actividades recreativas, cultura y religión </c:v>
                </c:pt>
                <c:pt idx="5">
                  <c:v>Protección del medio ambiente </c:v>
                </c:pt>
                <c:pt idx="6">
                  <c:v>Protección social </c:v>
                </c:pt>
                <c:pt idx="7">
                  <c:v>Orden público y seguridad </c:v>
                </c:pt>
                <c:pt idx="8">
                  <c:v>Vivienda y servicios comunitarios </c:v>
                </c:pt>
                <c:pt idx="9">
                  <c:v>Educación </c:v>
                </c:pt>
              </c:strCache>
            </c:strRef>
          </c:cat>
          <c:val>
            <c:numRef>
              <c:f>Hoja1!$B$2:$B$11</c:f>
              <c:numCache>
                <c:formatCode>_(* #,##0.00_);_(* \(#,##0.00\);_(* "-"??_);_(@_)</c:formatCode>
                <c:ptCount val="10"/>
                <c:pt idx="0">
                  <c:v>274.84014319000016</c:v>
                </c:pt>
                <c:pt idx="1">
                  <c:v>200.16243985999995</c:v>
                </c:pt>
                <c:pt idx="2">
                  <c:v>172.43089457999986</c:v>
                </c:pt>
                <c:pt idx="3">
                  <c:v>26.43920264999997</c:v>
                </c:pt>
                <c:pt idx="4">
                  <c:v>-9.8138971500000025</c:v>
                </c:pt>
                <c:pt idx="5">
                  <c:v>-19.130260780000008</c:v>
                </c:pt>
                <c:pt idx="6">
                  <c:v>-61.328321689999484</c:v>
                </c:pt>
                <c:pt idx="7">
                  <c:v>-69.080048940000779</c:v>
                </c:pt>
                <c:pt idx="8">
                  <c:v>-74.658962240000392</c:v>
                </c:pt>
                <c:pt idx="9">
                  <c:v>-169.0719155099996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59-4098-890E-1F7CBB36AEF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0"/>
                  <c:y val="-4.4111160123512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4-4D68-B0B8-B61B55BCB51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Salud </c:v>
                </c:pt>
                <c:pt idx="1">
                  <c:v>Asuntos económicos </c:v>
                </c:pt>
                <c:pt idx="2">
                  <c:v>Servicios públicos generales </c:v>
                </c:pt>
                <c:pt idx="3">
                  <c:v>Defensa </c:v>
                </c:pt>
                <c:pt idx="4">
                  <c:v>Actividades recreativas, cultura y religión </c:v>
                </c:pt>
                <c:pt idx="5">
                  <c:v>Protección del medio ambiente </c:v>
                </c:pt>
                <c:pt idx="6">
                  <c:v>Protección social </c:v>
                </c:pt>
                <c:pt idx="7">
                  <c:v>Orden público y seguridad </c:v>
                </c:pt>
                <c:pt idx="8">
                  <c:v>Vivienda y servicios comunitarios </c:v>
                </c:pt>
                <c:pt idx="9">
                  <c:v>Educación </c:v>
                </c:pt>
              </c:strCache>
            </c:strRef>
          </c:cat>
          <c:val>
            <c:numRef>
              <c:f>Hoja1!$C$2:$C$11</c:f>
              <c:numCache>
                <c:formatCode>_(* #,##0.00_);_(* \(#,##0.00\);_(* "-"??_);_(@_)</c:formatCode>
                <c:ptCount val="10"/>
                <c:pt idx="0">
                  <c:v>202.39876583999967</c:v>
                </c:pt>
                <c:pt idx="1">
                  <c:v>-246.65712793</c:v>
                </c:pt>
                <c:pt idx="2">
                  <c:v>-114.37473916999988</c:v>
                </c:pt>
                <c:pt idx="3">
                  <c:v>30.468682480000041</c:v>
                </c:pt>
                <c:pt idx="4">
                  <c:v>-7.2593353899999897</c:v>
                </c:pt>
                <c:pt idx="5">
                  <c:v>-38.261663989999988</c:v>
                </c:pt>
                <c:pt idx="6">
                  <c:v>-28.813454789999923</c:v>
                </c:pt>
                <c:pt idx="7">
                  <c:v>392.07311209000045</c:v>
                </c:pt>
                <c:pt idx="8">
                  <c:v>-29.273669039999731</c:v>
                </c:pt>
                <c:pt idx="9">
                  <c:v>187.19828171000063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59-4098-890E-1F7CBB36A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170388288"/>
        <c:axId val="1181658512"/>
      </c:barChart>
      <c:catAx>
        <c:axId val="117038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81658512"/>
        <c:crosses val="autoZero"/>
        <c:auto val="1"/>
        <c:lblAlgn val="ctr"/>
        <c:lblOffset val="100"/>
        <c:noMultiLvlLbl val="0"/>
      </c:catAx>
      <c:valAx>
        <c:axId val="1181658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7038828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396325459317584"/>
          <c:y val="0.49862543320364888"/>
          <c:w val="0.21279593175853018"/>
          <c:h val="8.2177019539224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100" b="1" i="0">
                <a:effectLst/>
              </a:rPr>
              <a:t>𝐆𝐫𝐚𝐝𝐨 𝐝𝐞 𝐄𝐣𝐞𝐜𝐮𝐜𝐢ó𝐧 𝐩𝐨𝐫 𝐄𝐧𝐭𝐢𝐝𝐚𝐝 𝟏/</a:t>
            </a:r>
            <a:endParaRPr lang="es-GT" sz="1100">
              <a:effectLst/>
            </a:endParaRPr>
          </a:p>
          <a:p>
            <a:pPr>
              <a:defRPr/>
            </a:pPr>
            <a:r>
              <a:rPr lang="es-MX" sz="1050" b="1">
                <a:effectLst/>
              </a:rPr>
              <a:t>Cifras a marzo de 2021*</a:t>
            </a:r>
            <a:endParaRPr lang="es-GT" sz="1050">
              <a:effectLst/>
            </a:endParaRPr>
          </a:p>
          <a:p>
            <a:pPr>
              <a:defRPr/>
            </a:pPr>
            <a:r>
              <a:rPr lang="es-MX" sz="1000">
                <a:effectLst/>
              </a:rPr>
              <a:t>En porcentajes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061372348536754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24244378702046987"/>
          <c:y val="0.13600984463928625"/>
          <c:w val="0.70153674771321428"/>
          <c:h val="0.730110328271725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7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1-E88B-4F95-A036-45FFE680B378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E88B-4F95-A036-45FFE680B378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88B-4F95-A036-45FFE680B378}"/>
              </c:ext>
            </c:extLst>
          </c:dPt>
          <c:dLbls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88B-4F95-A036-45FFE680B3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0">
                  <c:v>Desarrollo</c:v>
                </c:pt>
                <c:pt idx="1">
                  <c:v>Economía</c:v>
                </c:pt>
                <c:pt idx="2">
                  <c:v>Agricultura</c:v>
                </c:pt>
                <c:pt idx="3">
                  <c:v>Cultura</c:v>
                </c:pt>
                <c:pt idx="4">
                  <c:v>Comunicaciones</c:v>
                </c:pt>
                <c:pt idx="5">
                  <c:v>Secretarías</c:v>
                </c:pt>
                <c:pt idx="6">
                  <c:v>Obligaciones </c:v>
                </c:pt>
                <c:pt idx="7">
                  <c:v>Total</c:v>
                </c:pt>
                <c:pt idx="8">
                  <c:v>Salud Pública </c:v>
                </c:pt>
                <c:pt idx="9">
                  <c:v>Presidencia</c:v>
                </c:pt>
                <c:pt idx="10">
                  <c:v>Finanzas</c:v>
                </c:pt>
                <c:pt idx="11">
                  <c:v>Deuda Pública</c:v>
                </c:pt>
                <c:pt idx="12">
                  <c:v>MINREX</c:v>
                </c:pt>
                <c:pt idx="13">
                  <c:v>Energía</c:v>
                </c:pt>
                <c:pt idx="14">
                  <c:v>Defensa </c:v>
                </c:pt>
                <c:pt idx="15">
                  <c:v>Trabajo </c:v>
                </c:pt>
                <c:pt idx="16">
                  <c:v>Ambiente </c:v>
                </c:pt>
                <c:pt idx="17">
                  <c:v>Gobernación</c:v>
                </c:pt>
                <c:pt idx="18">
                  <c:v>Educación </c:v>
                </c:pt>
                <c:pt idx="19">
                  <c:v>PGN</c:v>
                </c:pt>
              </c:strCache>
            </c:strRef>
          </c:cat>
          <c:val>
            <c:numRef>
              <c:f>Sheet1!$B$2:$B$21</c:f>
              <c:numCache>
                <c:formatCode>0.0</c:formatCode>
                <c:ptCount val="20"/>
                <c:pt idx="0">
                  <c:v>1.3480024689470782</c:v>
                </c:pt>
                <c:pt idx="1">
                  <c:v>1.8636928519297218</c:v>
                </c:pt>
                <c:pt idx="2">
                  <c:v>10.273719101034493</c:v>
                </c:pt>
                <c:pt idx="3">
                  <c:v>11.708293306622105</c:v>
                </c:pt>
                <c:pt idx="4">
                  <c:v>11.797269536458041</c:v>
                </c:pt>
                <c:pt idx="5">
                  <c:v>14.523480714879414</c:v>
                </c:pt>
                <c:pt idx="6">
                  <c:v>16.516613198195628</c:v>
                </c:pt>
                <c:pt idx="7">
                  <c:v>16.801612666983406</c:v>
                </c:pt>
                <c:pt idx="8">
                  <c:v>16.960588839650505</c:v>
                </c:pt>
                <c:pt idx="9">
                  <c:v>17.792020619047623</c:v>
                </c:pt>
                <c:pt idx="10">
                  <c:v>17.822398455041448</c:v>
                </c:pt>
                <c:pt idx="11">
                  <c:v>18.235618690301823</c:v>
                </c:pt>
                <c:pt idx="12">
                  <c:v>18.394443842260504</c:v>
                </c:pt>
                <c:pt idx="13">
                  <c:v>18.438399236961676</c:v>
                </c:pt>
                <c:pt idx="14">
                  <c:v>19.013266758102809</c:v>
                </c:pt>
                <c:pt idx="15">
                  <c:v>20.234406239560425</c:v>
                </c:pt>
                <c:pt idx="16">
                  <c:v>21.140733925709437</c:v>
                </c:pt>
                <c:pt idx="17">
                  <c:v>23.443645881580956</c:v>
                </c:pt>
                <c:pt idx="18">
                  <c:v>23.710563340184297</c:v>
                </c:pt>
                <c:pt idx="19">
                  <c:v>28.101806964025144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8B-4F95-A036-45FFE680B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84502968"/>
        <c:axId val="584496080"/>
      </c:barChart>
      <c:catAx>
        <c:axId val="584502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496080"/>
        <c:crosses val="autoZero"/>
        <c:auto val="1"/>
        <c:lblAlgn val="ctr"/>
        <c:lblOffset val="100"/>
        <c:noMultiLvlLbl val="0"/>
      </c:catAx>
      <c:valAx>
        <c:axId val="584496080"/>
        <c:scaling>
          <c:orientation val="minMax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50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Ingresos Totales por clasificación MEFP</a:t>
            </a:r>
          </a:p>
          <a:p>
            <a:pPr>
              <a:defRPr/>
            </a:pPr>
            <a:r>
              <a:rPr lang="en-US" sz="1100" b="1">
                <a:solidFill>
                  <a:sysClr val="windowText" lastClr="000000"/>
                </a:solidFill>
              </a:rPr>
              <a:t>Variación interanual acumulada a marzo 2021*</a:t>
            </a:r>
          </a:p>
          <a:p>
            <a:pPr>
              <a:defRPr/>
            </a:pPr>
            <a:r>
              <a:rPr lang="en-US" sz="1000" b="0">
                <a:solidFill>
                  <a:sysClr val="windowText" lastClr="000000"/>
                </a:solidFill>
              </a:rPr>
              <a:t>En millones de Quetzales</a:t>
            </a:r>
          </a:p>
        </c:rich>
      </c:tx>
      <c:layout>
        <c:manualLayout>
          <c:xMode val="edge"/>
          <c:yMode val="edge"/>
          <c:x val="0.262541320999273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4.0408336877924285E-2"/>
          <c:y val="0.34659124681169312"/>
          <c:w val="0.94778901254952663"/>
          <c:h val="0.52516451826765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Diferencia acumulada en Q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B92F-4C00-9E78-64F63BD23BD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D57-4DF7-9501-E7995210802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D57-4DF7-9501-E79952108022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D57-4DF7-9501-E799521080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Impuestos </c:v>
                </c:pt>
                <c:pt idx="1">
                  <c:v>Contribuciones sociales </c:v>
                </c:pt>
                <c:pt idx="2">
                  <c:v>Donaciones </c:v>
                </c:pt>
                <c:pt idx="3">
                  <c:v>Otros ingresos </c:v>
                </c:pt>
                <c:pt idx="4">
                  <c:v>Ingresos Totales</c:v>
                </c:pt>
              </c:strCache>
            </c:strRef>
          </c:cat>
          <c:val>
            <c:numRef>
              <c:f>Hoja1!$B$2:$B$6</c:f>
              <c:numCache>
                <c:formatCode>#,##0.0_ ;[Red]\-#,##0.0\ </c:formatCode>
                <c:ptCount val="5"/>
                <c:pt idx="0">
                  <c:v>3282.0943397099982</c:v>
                </c:pt>
                <c:pt idx="1">
                  <c:v>12.539491969999972</c:v>
                </c:pt>
                <c:pt idx="2">
                  <c:v>0.84342907000000045</c:v>
                </c:pt>
                <c:pt idx="3">
                  <c:v>-99.407759419999934</c:v>
                </c:pt>
                <c:pt idx="4">
                  <c:v>3196.0695013299987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504D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0-B92F-4C00-9E78-64F63BD23B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axId val="415018800"/>
        <c:axId val="408568416"/>
      </c:barChart>
      <c:catAx>
        <c:axId val="415018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568416"/>
        <c:crosses val="autoZero"/>
        <c:auto val="1"/>
        <c:lblAlgn val="ctr"/>
        <c:lblOffset val="100"/>
        <c:noMultiLvlLbl val="0"/>
      </c:catAx>
      <c:valAx>
        <c:axId val="40856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50188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100" b="1" i="0" baseline="0">
                <a:effectLst/>
              </a:rPr>
              <a:t>Impuestos por clasificación MEFP</a:t>
            </a:r>
            <a:endParaRPr lang="es-GT" sz="11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50" b="1" i="0" baseline="0">
                <a:effectLst/>
              </a:rPr>
              <a:t>Variación interanual acumulada a marzo* </a:t>
            </a:r>
            <a:endParaRPr lang="es-GT" sz="105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6974416017797553"/>
          <c:y val="1.507854269589599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51727859860214098"/>
          <c:y val="0.18621819989835534"/>
          <c:w val="0.40594507166025828"/>
          <c:h val="0.72145046063749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67-4492-9669-3A5FD083E581}"/>
              </c:ext>
            </c:extLst>
          </c:dPt>
          <c:dLbls>
            <c:dLbl>
              <c:idx val="0"/>
              <c:layout>
                <c:manualLayout>
                  <c:x val="-8.3761439932368009E-2"/>
                  <c:y val="3.282105736782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7-4492-9669-3A5FD083E581}"/>
                </c:ext>
              </c:extLst>
            </c:dLbl>
            <c:dLbl>
              <c:idx val="1"/>
              <c:layout>
                <c:manualLayout>
                  <c:x val="-6.060600102889753E-2"/>
                  <c:y val="-4.0526974128234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67-4492-9669-3A5FD083E581}"/>
                </c:ext>
              </c:extLst>
            </c:dLbl>
            <c:dLbl>
              <c:idx val="3"/>
              <c:layout>
                <c:manualLayout>
                  <c:x val="0"/>
                  <c:y val="1.3999066728884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5E-4A65-A85B-576CCAA7FD26}"/>
                </c:ext>
              </c:extLst>
            </c:dLbl>
            <c:dLbl>
              <c:idx val="5"/>
              <c:layout>
                <c:manualLayout>
                  <c:x val="-1.5258528129462164E-16"/>
                  <c:y val="9.3327111525898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5E-4A65-A85B-576CCAA7FD2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Hoja1!$B$2:$B$7</c:f>
              <c:numCache>
                <c:formatCode>_(* #,##0.00_);_(* \(#,##0.00\);_(* "-"??_);_(@_)</c:formatCode>
                <c:ptCount val="6"/>
                <c:pt idx="0">
                  <c:v>3282.0943397099991</c:v>
                </c:pt>
                <c:pt idx="1">
                  <c:v>1928.3414211700001</c:v>
                </c:pt>
                <c:pt idx="2">
                  <c:v>1266.2728948199992</c:v>
                </c:pt>
                <c:pt idx="3">
                  <c:v>59.772229379999999</c:v>
                </c:pt>
                <c:pt idx="4">
                  <c:v>26.723155660000003</c:v>
                </c:pt>
                <c:pt idx="5">
                  <c:v>0.98463868000000065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67-4492-9669-3A5FD083E58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67-4492-9669-3A5FD083E581}"/>
              </c:ext>
            </c:extLst>
          </c:dPt>
          <c:dLbls>
            <c:dLbl>
              <c:idx val="0"/>
              <c:layout>
                <c:manualLayout>
                  <c:x val="-8.3226019968477716E-3"/>
                  <c:y val="-8.5691506991660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67-4492-9669-3A5FD083E581}"/>
                </c:ext>
              </c:extLst>
            </c:dLbl>
            <c:dLbl>
              <c:idx val="1"/>
              <c:layout>
                <c:manualLayout>
                  <c:x val="0"/>
                  <c:y val="3.1308004340393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67-4492-9669-3A5FD083E58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Hoja1!$C$2:$C$7</c:f>
              <c:numCache>
                <c:formatCode>_(* #,##0.00_);_(* \(#,##0.00\);_(* "-"??_);_(@_)</c:formatCode>
                <c:ptCount val="6"/>
                <c:pt idx="0">
                  <c:v>-571.04357894999953</c:v>
                </c:pt>
                <c:pt idx="1">
                  <c:v>-197.64001352999912</c:v>
                </c:pt>
                <c:pt idx="2">
                  <c:v>-363.40244347000043</c:v>
                </c:pt>
                <c:pt idx="3">
                  <c:v>3.3853414600000633</c:v>
                </c:pt>
                <c:pt idx="4">
                  <c:v>-9.6209620700000045</c:v>
                </c:pt>
                <c:pt idx="5">
                  <c:v>-3.7655013399999984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67-4492-9669-3A5FD083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916956256"/>
        <c:axId val="1924152624"/>
      </c:barChart>
      <c:catAx>
        <c:axId val="19169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@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924152624"/>
        <c:crosses val="autoZero"/>
        <c:auto val="1"/>
        <c:lblAlgn val="ctr"/>
        <c:lblOffset val="100"/>
        <c:noMultiLvlLbl val="0"/>
      </c:catAx>
      <c:valAx>
        <c:axId val="1924152624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191695625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028959863163167"/>
          <c:y val="0.15556476815245049"/>
          <c:w val="0.26273621228058097"/>
          <c:h val="0.10061978390368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ln>
                  <a:noFill/>
                </a:ln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Gasto Total</a:t>
            </a:r>
            <a:endParaRPr lang="es-GT" sz="110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50" b="1" i="0" baseline="0">
                <a:solidFill>
                  <a:sysClr val="windowText" lastClr="000000"/>
                </a:solidFill>
                <a:effectLst/>
              </a:rPr>
              <a:t>Variación internanual acumulada</a:t>
            </a:r>
            <a:endParaRPr lang="es-GT" sz="105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porcentaje</a:t>
            </a:r>
            <a:endParaRPr lang="es-GT" sz="10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2555233206873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ln>
                <a:noFill/>
              </a:ln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6545016109172703"/>
          <c:w val="1"/>
          <c:h val="0.48333595324177947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C0504D"/>
            </a:solidFill>
            <a:ln w="9525" cap="flat" cmpd="sng" algn="ctr">
              <a:solidFill>
                <a:sysClr val="windowText" lastClr="000000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7"/>
              <c:layout>
                <c:manualLayout>
                  <c:x val="2.126754572522331E-3"/>
                  <c:y val="-3.418803418803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1D-4AC6-8713-E18D74BE5E81}"/>
                </c:ext>
              </c:extLst>
            </c:dLbl>
            <c:dLbl>
              <c:idx val="8"/>
              <c:layout>
                <c:manualLayout>
                  <c:x val="-6.3802637175669925E-3"/>
                  <c:y val="-6.8376068376068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1D-4AC6-8713-E18D74BE5E81}"/>
                </c:ext>
              </c:extLst>
            </c:dLbl>
            <c:dLbl>
              <c:idx val="9"/>
              <c:layout>
                <c:manualLayout>
                  <c:x val="0"/>
                  <c:y val="-4.55840455840455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0A-4D11-A436-5D5F21E01012}"/>
                </c:ext>
              </c:extLst>
            </c:dLbl>
            <c:spPr>
              <a:gradFill rotWithShape="1">
                <a:gsLst>
                  <a:gs pos="0">
                    <a:srgbClr val="C0504D">
                      <a:shade val="51000"/>
                      <a:satMod val="130000"/>
                    </a:srgbClr>
                  </a:gs>
                  <a:gs pos="80000">
                    <a:srgbClr val="C0504D">
                      <a:shade val="93000"/>
                      <a:satMod val="130000"/>
                    </a:srgbClr>
                  </a:gs>
                  <a:gs pos="100000">
                    <a:srgbClr val="C0504D">
                      <a:shade val="94000"/>
                      <a:satMod val="135000"/>
                    </a:srgb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_-* #,##0.0_-;\-* #,##0.0_-;_-* "-"??_-;_-@_-</c:formatCode>
                <c:ptCount val="3"/>
                <c:pt idx="0">
                  <c:v>4.0199205175314168</c:v>
                </c:pt>
                <c:pt idx="1">
                  <c:v>2.3196152327942476</c:v>
                </c:pt>
                <c:pt idx="2">
                  <c:v>4.6791549582026803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F2-4B79-BA3C-8105E40095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3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ln w="34925" cap="rnd" cmpd="sng" algn="ctr">
              <a:solidFill>
                <a:schemeClr val="accent4"/>
              </a:solidFill>
              <a:round/>
              <a:tailEnd type="non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10"/>
            <c:spPr>
              <a:solidFill>
                <a:srgbClr val="8064A2"/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8"/>
            <c:marker>
              <c:symbol val="circle"/>
              <c:size val="10"/>
              <c:spPr>
                <a:solidFill>
                  <a:srgbClr val="8064A2"/>
                </a:solidFill>
                <a:ln w="9525" cap="flat" cmpd="sng" algn="ctr">
                  <a:solidFill>
                    <a:sysClr val="windowText" lastClr="000000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2E1D-4AC6-8713-E18D74BE5E81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4-6C0A-4D11-A436-5D5F21E01012}"/>
              </c:ext>
            </c:extLst>
          </c:dPt>
          <c:dLbls>
            <c:dLbl>
              <c:idx val="1"/>
              <c:layout>
                <c:manualLayout>
                  <c:x val="1.2831078552137018E-3"/>
                  <c:y val="-2.89453254962848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A6-450C-9CFD-E2045ED58350}"/>
                </c:ext>
              </c:extLst>
            </c:dLbl>
            <c:dLbl>
              <c:idx val="8"/>
              <c:layout>
                <c:manualLayout>
                  <c:x val="-4.006939583424049E-2"/>
                  <c:y val="-0.133945756780402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1D-4AC6-8713-E18D74BE5E81}"/>
                </c:ext>
              </c:extLst>
            </c:dLbl>
            <c:dLbl>
              <c:idx val="9"/>
              <c:layout>
                <c:manualLayout>
                  <c:x val="-4.2662696724797958E-2"/>
                  <c:y val="-0.125398748233393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0A-4D11-A436-5D5F21E01012}"/>
                </c:ext>
              </c:extLst>
            </c:dLbl>
            <c:dLbl>
              <c:idx val="10"/>
              <c:layout>
                <c:manualLayout>
                  <c:x val="-4.2662696724797958E-2"/>
                  <c:y val="-7.981470264934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0A-4D11-A436-5D5F21E01012}"/>
                </c:ext>
              </c:extLst>
            </c:dLbl>
            <c:dLbl>
              <c:idx val="11"/>
              <c:layout>
                <c:manualLayout>
                  <c:x val="-1.1433734011662139E-2"/>
                  <c:y val="-7.9814702649348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0A-4D11-A436-5D5F21E01012}"/>
                </c:ext>
              </c:extLst>
            </c:dLbl>
            <c:spPr>
              <a:gradFill rotWithShape="1">
                <a:gsLst>
                  <a:gs pos="0">
                    <a:srgbClr val="8064A2">
                      <a:shade val="51000"/>
                      <a:satMod val="130000"/>
                    </a:srgbClr>
                  </a:gs>
                  <a:gs pos="80000">
                    <a:srgbClr val="8064A2">
                      <a:shade val="93000"/>
                      <a:satMod val="130000"/>
                    </a:srgbClr>
                  </a:gs>
                  <a:gs pos="100000">
                    <a:srgbClr val="8064A2">
                      <a:shade val="94000"/>
                      <a:satMod val="135000"/>
                    </a:srgb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Hoja1!$B$2:$B$4</c:f>
              <c:numCache>
                <c:formatCode>_-* #,##0.0_-;\-* #,##0.0_-;_-* "-"??_-;_-@_-</c:formatCode>
                <c:ptCount val="3"/>
                <c:pt idx="0">
                  <c:v>3.4915392315782778</c:v>
                </c:pt>
                <c:pt idx="1">
                  <c:v>4.8333412036917878</c:v>
                </c:pt>
                <c:pt idx="2">
                  <c:v>-6.2531101835205938E-2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BF2-4B79-BA3C-8105E4009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  <c:min val="-3"/>
        </c:scaling>
        <c:delete val="0"/>
        <c:axPos val="l"/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1117351125574828"/>
          <c:y val="0.8724076005925756"/>
          <c:w val="0.45348918530910043"/>
          <c:h val="9.0400879377257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 i="0" baseline="0">
                <a:effectLst/>
              </a:rPr>
              <a:t>Gasto Total por clasificación MEFP</a:t>
            </a:r>
            <a:endParaRPr lang="es-GT" sz="12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100" b="1" i="0" baseline="0">
                <a:effectLst/>
              </a:rPr>
              <a:t>Variación interanual acumulada a marzo 2021*</a:t>
            </a:r>
            <a:endParaRPr lang="es-GT" sz="11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130034266550014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32906428665492227"/>
          <c:w val="1"/>
          <c:h val="0.162435304611852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rgbClr val="70AD47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1"/>
          <c:dPt>
            <c:idx val="0"/>
            <c:invertIfNegative val="1"/>
            <c:bubble3D val="0"/>
            <c:spPr>
              <a:solidFill>
                <a:srgbClr val="9BBB59">
                  <a:lumMod val="50000"/>
                </a:srgbClr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E90E-47CE-A1AF-24E12632E8F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90E-47CE-A1AF-24E12632E8F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90E-47CE-A1AF-24E12632E8F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E90E-47CE-A1AF-24E12632E8F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90E-47CE-A1AF-24E12632E8F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90E-47CE-A1AF-24E12632E8F0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ACA-4772-9D86-D533BD95FF55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ACA-4772-9D86-D533BD95FF55}"/>
                </c:ext>
              </c:extLst>
            </c:dLbl>
            <c:dLbl>
              <c:idx val="7"/>
              <c:layout>
                <c:manualLayout>
                  <c:x val="0"/>
                  <c:y val="2.354741202373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A9-4339-85B6-CCB3FDC6B9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Hoja1!$A$2:$A$9</c:f>
              <c:strCache>
                <c:ptCount val="8"/>
                <c:pt idx="0">
                  <c:v>Gasto total</c:v>
                </c:pt>
                <c:pt idx="1">
                  <c:v>Uso de bienes y servicios  </c:v>
                </c:pt>
                <c:pt idx="2">
                  <c:v>Remuneración a los empleados </c:v>
                </c:pt>
                <c:pt idx="3">
                  <c:v>Intereses </c:v>
                </c:pt>
                <c:pt idx="4">
                  <c:v>Subsidios </c:v>
                </c:pt>
                <c:pt idx="5">
                  <c:v>Prestaciones sociales </c:v>
                </c:pt>
                <c:pt idx="6">
                  <c:v>Otros gastos </c:v>
                </c:pt>
                <c:pt idx="7">
                  <c:v>Donaciones </c:v>
                </c:pt>
              </c:strCache>
            </c:strRef>
          </c:cat>
          <c:val>
            <c:numRef>
              <c:f>Hoja1!$B$2:$B$9</c:f>
              <c:numCache>
                <c:formatCode>#,##0.0_ ;[Red]\-#,##0.0\ </c:formatCode>
                <c:ptCount val="8"/>
                <c:pt idx="0">
                  <c:v>-10.773867750001727</c:v>
                </c:pt>
                <c:pt idx="1">
                  <c:v>332.55634645999976</c:v>
                </c:pt>
                <c:pt idx="2">
                  <c:v>187.53161343999818</c:v>
                </c:pt>
                <c:pt idx="3">
                  <c:v>23.791323689999899</c:v>
                </c:pt>
                <c:pt idx="4">
                  <c:v>0.66338564999999949</c:v>
                </c:pt>
                <c:pt idx="5">
                  <c:v>-12.483208030000014</c:v>
                </c:pt>
                <c:pt idx="6">
                  <c:v>-213.01388518000022</c:v>
                </c:pt>
                <c:pt idx="7">
                  <c:v>-329.81944377999935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solidFill>
                      <a:sysClr val="windowText" lastClr="000000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threePt" dir="t">
                      <a:rot lat="0" lon="0" rev="1200000"/>
                    </a:lightRig>
                  </a:scene3d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0-79AA-42F7-8902-3AA428E26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96122768"/>
        <c:axId val="317412256"/>
      </c:barChart>
      <c:catAx>
        <c:axId val="59612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17412256"/>
        <c:crosses val="autoZero"/>
        <c:auto val="1"/>
        <c:lblAlgn val="ctr"/>
        <c:lblOffset val="100"/>
        <c:noMultiLvlLbl val="0"/>
      </c:catAx>
      <c:valAx>
        <c:axId val="317412256"/>
        <c:scaling>
          <c:orientation val="minMax"/>
        </c:scaling>
        <c:delete val="1"/>
        <c:axPos val="l"/>
        <c:numFmt formatCode="#,##0.0_ ;[Red]\-#,##0.0\ " sourceLinked="1"/>
        <c:majorTickMark val="none"/>
        <c:minorTickMark val="none"/>
        <c:tickLblPos val="nextTo"/>
        <c:crossAx val="59612276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56000">
              <a:schemeClr val="bg1">
                <a:lumMod val="95000"/>
              </a:schemeClr>
            </a:gs>
            <a:gs pos="100000">
              <a:schemeClr val="bg1"/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Inversión bruta en activos no financieros</a:t>
            </a:r>
            <a:endParaRPr lang="es-GT" sz="12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Cifra acumulada a marzo de cada año</a:t>
            </a:r>
            <a:endParaRPr lang="es-GT" sz="11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millones de Quetzales</a:t>
            </a:r>
            <a:endParaRPr lang="es-GT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46672787604054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31652618991224768"/>
          <c:w val="1"/>
          <c:h val="0.44193736604641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Inversión neta/bruta en activos no financieros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Hoja1!$B$1:$F$1</c:f>
              <c:strCache>
                <c:ptCount val="5"/>
                <c:pt idx="0">
                  <c:v>2021*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strCache>
            </c:strRef>
          </c:cat>
          <c:val>
            <c:numRef>
              <c:f>Hoja1!$B$2:$F$2</c:f>
              <c:numCache>
                <c:formatCode>#,##0.0_ ;[Red]\-#,##0.0\ </c:formatCode>
                <c:ptCount val="5"/>
                <c:pt idx="0">
                  <c:v>485.68249923999997</c:v>
                </c:pt>
                <c:pt idx="1">
                  <c:v>204.11935751999999</c:v>
                </c:pt>
                <c:pt idx="2">
                  <c:v>626.78373311999997</c:v>
                </c:pt>
                <c:pt idx="3">
                  <c:v>97.190894950000001</c:v>
                </c:pt>
                <c:pt idx="4">
                  <c:v>69.331830570000008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1-44C7-96E0-50CBD3BBB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1557017296"/>
        <c:axId val="470887616"/>
      </c:barChart>
      <c:catAx>
        <c:axId val="1557017296"/>
        <c:scaling>
          <c:orientation val="maxMin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70887616"/>
        <c:crosses val="autoZero"/>
        <c:auto val="1"/>
        <c:lblAlgn val="ctr"/>
        <c:lblOffset val="100"/>
        <c:noMultiLvlLbl val="0"/>
      </c:catAx>
      <c:valAx>
        <c:axId val="470887616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_ ;[Red]\-#,##0.0\ " sourceLinked="1"/>
        <c:majorTickMark val="none"/>
        <c:minorTickMark val="none"/>
        <c:tickLblPos val="nextTo"/>
        <c:crossAx val="155701729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/>
              <a:t>Flujo</a:t>
            </a:r>
            <a:r>
              <a:rPr lang="es-GT" baseline="0"/>
              <a:t> mensual </a:t>
            </a:r>
          </a:p>
        </c:rich>
      </c:tx>
      <c:layout>
        <c:manualLayout>
          <c:xMode val="edge"/>
          <c:yMode val="edge"/>
          <c:x val="0.381879044856059"/>
          <c:y val="3.682551890094241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1685116851168512"/>
          <c:w val="1"/>
          <c:h val="0.594466859135931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Adquicición neta de activos financieros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3"/>
            <c:invertIfNegative val="1"/>
            <c:bubble3D val="0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Lbls>
            <c:dLbl>
              <c:idx val="0"/>
              <c:layout>
                <c:manualLayout>
                  <c:x val="0"/>
                  <c:y val="1.5261350629530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layout>
                <c:manualLayout>
                  <c:x val="0"/>
                  <c:y val="1.845018450184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layout>
                <c:manualLayout>
                  <c:x val="0"/>
                  <c:y val="-3.0522701259061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layout>
                <c:manualLayout>
                  <c:x val="-1.6365205576923713E-16"/>
                  <c:y val="-2.46002460024600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dLbl>
              <c:idx val="10"/>
              <c:layout>
                <c:manualLayout>
                  <c:x val="0"/>
                  <c:y val="1.52613506295307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50-4E40-8B03-F23CCCAC8D6F}"/>
                </c:ext>
              </c:extLst>
            </c:dLbl>
            <c:dLbl>
              <c:idx val="12"/>
              <c:layout>
                <c:manualLayout>
                  <c:x val="-1.6365205576923713E-16"/>
                  <c:y val="-3.815337657382678E-2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50-4E40-8B03-F23CCCAC8D6F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Hoja1!$B$1:$E$1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Hoja1!$B$2:$E$2</c:f>
              <c:numCache>
                <c:formatCode>#,##0.00</c:formatCode>
                <c:ptCount val="4"/>
                <c:pt idx="0">
                  <c:v>-278.25034382999996</c:v>
                </c:pt>
                <c:pt idx="1">
                  <c:v>-11.435125739999998</c:v>
                </c:pt>
                <c:pt idx="2">
                  <c:v>4951.5223528899996</c:v>
                </c:pt>
                <c:pt idx="3" formatCode="_(* #,##0.00_);_(* \(#,##0.00\);_(* &quot;-&quot;??_);_(@_)">
                  <c:v>4661.8368833199993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catAx>
        <c:axId val="15297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1"/>
        <c:axPos val="l"/>
        <c:numFmt formatCode="#,##0_ ;[Red]\-#,##0\ " sourceLinked="0"/>
        <c:majorTickMark val="none"/>
        <c:minorTickMark val="none"/>
        <c:tickLblPos val="nextTo"/>
        <c:crossAx val="152970912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000"/>
              <a:t>Composición</a:t>
            </a:r>
            <a:r>
              <a:rPr lang="es-GT" sz="1000" baseline="0"/>
              <a:t> del flujo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s-GT" sz="1000" baseline="0"/>
              <a:t>acumulado a marzo</a:t>
            </a:r>
            <a:endParaRPr lang="es-GT" sz="1000"/>
          </a:p>
        </c:rich>
      </c:tx>
      <c:layout>
        <c:manualLayout>
          <c:xMode val="edge"/>
          <c:yMode val="edge"/>
          <c:x val="0.2784585649748270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3775004063313276"/>
          <c:y val="0.27904009203471253"/>
          <c:w val="0.44852633908202411"/>
          <c:h val="0.6722044015836075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Septiembre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F2-407C-BE81-289EFBC09B14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F2-407C-BE81-289EFBC09B14}"/>
              </c:ext>
            </c:extLst>
          </c:dPt>
          <c:dLbls>
            <c:dLbl>
              <c:idx val="0"/>
              <c:layout>
                <c:manualLayout>
                  <c:x val="0.52241151829641219"/>
                  <c:y val="-0.21233048993875769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5877854667287251"/>
                      <c:h val="0.360920943909789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F2-407C-BE81-289EFBC09B14}"/>
                </c:ext>
              </c:extLst>
            </c:dLbl>
            <c:dLbl>
              <c:idx val="1"/>
              <c:layout>
                <c:manualLayout>
                  <c:x val="-1.9511364816574374E-2"/>
                  <c:y val="0.19145888013998236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280087241171064"/>
                      <c:h val="0.302602192087100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F2-407C-BE81-289EFBC09B1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Billetes, monedas y depósitos</c:v>
                </c:pt>
                <c:pt idx="1">
                  <c:v>Préstamos</c:v>
                </c:pt>
              </c:strCache>
            </c:strRef>
          </c:cat>
          <c:val>
            <c:numRef>
              <c:f>Hoja1!$B$2:$B$3</c:f>
              <c:numCache>
                <c:formatCode>"Q"#,##0.0</c:formatCode>
                <c:ptCount val="2"/>
                <c:pt idx="0">
                  <c:v>4662.7059892399993</c:v>
                </c:pt>
                <c:pt idx="1">
                  <c:v>-0.86910591999999998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F2-407C-BE81-289EFBC09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0"/>
      </c:pieChart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 i="0">
                <a:solidFill>
                  <a:schemeClr val="tx1"/>
                </a:solidFill>
              </a:rPr>
              <a:t>Monto Mensual</a:t>
            </a:r>
          </a:p>
        </c:rich>
      </c:tx>
      <c:layout>
        <c:manualLayout>
          <c:xMode val="edge"/>
          <c:yMode val="edge"/>
          <c:x val="0.35417726104549435"/>
          <c:y val="9.83284169124877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1011569223138445"/>
          <c:w val="1"/>
          <c:h val="0.63267505735011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0"/>
            <c:bubble3D val="0"/>
            <c:spPr>
              <a:noFill/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4B4C-4485-8C79-904533380089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B4C-4485-8C79-904533380089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4C-4485-8C79-904533380089}"/>
                </c:ext>
              </c:extLst>
            </c:dLbl>
            <c:dLbl>
              <c:idx val="12"/>
              <c:layout>
                <c:manualLayout>
                  <c:x val="-7.5357950263752832E-2"/>
                  <c:y val="2.51968503937007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B4C-4485-8C79-904533380089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Hoja1!$B$1:$E$1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Hoja1!$B$2:$E$2</c:f>
              <c:numCache>
                <c:formatCode>_-* #,##0.0_-;\-* #,##0.0_-;_-* "-"??_-;_-@_-</c:formatCode>
                <c:ptCount val="4"/>
                <c:pt idx="0">
                  <c:v>-272.92506887000008</c:v>
                </c:pt>
                <c:pt idx="1">
                  <c:v>-334.88607512000004</c:v>
                </c:pt>
                <c:pt idx="2">
                  <c:v>6535.2673976999995</c:v>
                </c:pt>
                <c:pt idx="3">
                  <c:v>5927.4562537099991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lineChart>
        <c:grouping val="standard"/>
        <c:varyColors val="0"/>
        <c:ser>
          <c:idx val="1"/>
          <c:order val="1"/>
          <c:tx>
            <c:strRef>
              <c:f>Hoja1!$A$3</c:f>
              <c:strCache>
                <c:ptCount val="1"/>
                <c:pt idx="0">
                  <c:v>Categoría 2</c:v>
                </c:pt>
              </c:strCache>
            </c:strRef>
          </c:tx>
          <c:spPr>
            <a:ln w="22225" cap="rnd">
              <a:noFill/>
              <a:round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21"/>
            <c:spPr>
              <a:solidFill>
                <a:schemeClr val="accent6">
                  <a:lumMod val="20000"/>
                  <a:lumOff val="80000"/>
                </a:schemeClr>
              </a:solidFill>
              <a:ln w="15875">
                <a:solidFill>
                  <a:schemeClr val="accent2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0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2F5A-4516-A758-482FB4948230}"/>
              </c:ext>
            </c:extLst>
          </c:dPt>
          <c:dPt>
            <c:idx val="1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2F5A-4516-A758-482FB4948230}"/>
              </c:ext>
            </c:extLst>
          </c:dPt>
          <c:dPt>
            <c:idx val="2"/>
            <c:marker>
              <c:symbol val="circle"/>
              <c:size val="21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2F5A-4516-A758-482FB4948230}"/>
              </c:ext>
            </c:extLst>
          </c:dPt>
          <c:dPt>
            <c:idx val="3"/>
            <c:marker>
              <c:symbol val="circle"/>
              <c:size val="21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spPr>
              <a:ln w="22225" cap="rnd">
                <a:noFill/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2F5A-4516-A758-482FB4948230}"/>
              </c:ext>
            </c:extLst>
          </c:dPt>
          <c:dLbls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631-45BD-9BD9-751B826219A5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Hoja1!$B$1:$E$1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Hoja1!$B$3:$E$3</c:f>
              <c:numCache>
                <c:formatCode>_-* #,##0.0_-;\-* #,##0.0_-;_-* "-"??_-;_-@_-</c:formatCode>
                <c:ptCount val="4"/>
                <c:pt idx="0">
                  <c:v>-272.92506887000008</c:v>
                </c:pt>
                <c:pt idx="1">
                  <c:v>-334.88607512000004</c:v>
                </c:pt>
                <c:pt idx="2">
                  <c:v>6535.2673976999995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F5A-4516-A758-482FB4948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70912"/>
        <c:axId val="152969984"/>
      </c:lineChart>
      <c:catAx>
        <c:axId val="15297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091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disminución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C71809-35DE-431A-8E89-16EE3CBE8060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3419CE-7C14-4ADE-BDF0-3D966782548A}" type="parTrans" cxnId="{537138B4-325E-4E94-87BB-8E2AEB889CE3}">
      <dgm:prSet/>
      <dgm:spPr/>
      <dgm:t>
        <a:bodyPr/>
        <a:lstStyle/>
        <a:p>
          <a:endParaRPr lang="es-GT"/>
        </a:p>
      </dgm:t>
    </dgm:pt>
    <dgm:pt modelId="{8B785DAD-3895-49B6-A969-58089C321C73}" type="sibTrans" cxnId="{537138B4-325E-4E94-87BB-8E2AEB889CE3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LinFactY="-1552" custLinFactNeighborX="-34956" custLinFactNeighborY="-100000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1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1" destOrd="0" parTransId="{BD00C7DA-D115-4DC8-96E9-9A8238F85148}" sibTransId="{65EB422C-F1D3-4985-A61D-252683A994E5}"/>
    <dgm:cxn modelId="{4D524D71-7747-4CA7-959A-0C1A1AB0D512}" type="presOf" srcId="{2CC71809-35DE-431A-8E89-16EE3CBE8060}" destId="{1111B519-2F2F-4512-95FE-D2216303CCBE}" srcOrd="0" destOrd="0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537138B4-325E-4E94-87BB-8E2AEB889CE3}" srcId="{68DFCB13-F778-41C4-88A6-8A8793BBCF6B}" destId="{2CC71809-35DE-431A-8E89-16EE3CBE8060}" srcOrd="0" destOrd="0" parTransId="{FB3419CE-7C14-4ADE-BDF0-3D966782548A}" sibTransId="{8B785DAD-3895-49B6-A969-58089C321C73}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D409E7-6B38-4B8B-8222-44C703F58D9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</dgm:t>
    </dgm:pt>
    <dgm:pt modelId="{35E9F9E2-37BD-42CA-AB3F-4201DA8C5649}" type="parTrans" cxnId="{D2A05A42-79FB-4963-8B17-BF9A6786808F}">
      <dgm:prSet/>
      <dgm:spPr/>
      <dgm:t>
        <a:bodyPr/>
        <a:lstStyle/>
        <a:p>
          <a:endParaRPr lang="en-US"/>
        </a:p>
      </dgm:t>
    </dgm:pt>
    <dgm:pt modelId="{AC2A3F50-B651-4C05-9C8B-A8F890A72D73}" type="sibTrans" cxnId="{D2A05A42-79FB-4963-8B17-BF9A6786808F}">
      <dgm:prSet/>
      <dgm:spPr/>
      <dgm:t>
        <a:bodyPr/>
        <a:lstStyle/>
        <a:p>
          <a:endParaRPr lang="en-US"/>
        </a:p>
      </dgm:t>
    </dgm:pt>
    <dgm:pt modelId="{3CF91B55-1F75-4C87-9C67-A20C9FA0566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</dgm:t>
    </dgm:pt>
    <dgm:pt modelId="{D8385961-8EAF-45B4-BEDD-9F02F740FFF8}" type="parTrans" cxnId="{3B646E4E-A757-43B0-9D09-BAE2E05E5ACA}">
      <dgm:prSet/>
      <dgm:spPr/>
      <dgm:t>
        <a:bodyPr/>
        <a:lstStyle/>
        <a:p>
          <a:endParaRPr lang="en-US"/>
        </a:p>
      </dgm:t>
    </dgm:pt>
    <dgm:pt modelId="{3B565E79-6F22-4474-B8A9-856B312682A2}" type="sibTrans" cxnId="{3B646E4E-A757-43B0-9D09-BAE2E05E5ACA}">
      <dgm:prSet/>
      <dgm:spPr/>
      <dgm:t>
        <a:bodyPr/>
        <a:lstStyle/>
        <a:p>
          <a:endParaRPr lang="en-US"/>
        </a:p>
      </dgm:t>
    </dgm:pt>
    <dgm:pt modelId="{DDD57492-28E1-4534-8544-AE4C4F54393E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</dgm:t>
    </dgm:pt>
    <dgm:pt modelId="{F4E1C6EE-CD86-4051-8C91-50C764FC2B3C}" type="parTrans" cxnId="{804E552C-050E-4FE3-9A89-FA56FE6F04DB}">
      <dgm:prSet/>
      <dgm:spPr/>
      <dgm:t>
        <a:bodyPr/>
        <a:lstStyle/>
        <a:p>
          <a:endParaRPr lang="en-US"/>
        </a:p>
      </dgm:t>
    </dgm:pt>
    <dgm:pt modelId="{810108D9-3C67-4E9B-A016-62224098F996}" type="sibTrans" cxnId="{804E552C-050E-4FE3-9A89-FA56FE6F04DB}">
      <dgm:prSet/>
      <dgm:spPr/>
      <dgm:t>
        <a:bodyPr/>
        <a:lstStyle/>
        <a:p>
          <a:endParaRPr lang="en-US"/>
        </a:p>
      </dgm:t>
    </dgm:pt>
    <dgm:pt modelId="{B3BD5EE0-8B02-47DD-9A82-259B22A65496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714091-2FD7-45AB-996F-8D909E729D08}" type="parTrans" cxnId="{46B5D4E3-A1B8-446E-BF94-1D1B608BD025}">
      <dgm:prSet/>
      <dgm:spPr/>
      <dgm:t>
        <a:bodyPr/>
        <a:lstStyle/>
        <a:p>
          <a:endParaRPr lang="en-US"/>
        </a:p>
      </dgm:t>
    </dgm:pt>
    <dgm:pt modelId="{0927F4C2-33AC-47BA-87B1-9849DE2EA647}" type="sibTrans" cxnId="{46B5D4E3-A1B8-446E-BF94-1D1B608BD025}">
      <dgm:prSet/>
      <dgm:spPr/>
      <dgm:t>
        <a:bodyPr/>
        <a:lstStyle/>
        <a:p>
          <a:endParaRPr lang="en-US"/>
        </a:p>
      </dgm:t>
    </dgm:pt>
    <dgm:pt modelId="{8A074394-24C9-4417-B175-5B020C5132EE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292B1-DDE6-4D66-AF9B-D8F09CB2C44B}" type="parTrans" cxnId="{DAA46AD6-6800-4619-A2CB-499FD1424CD7}">
      <dgm:prSet/>
      <dgm:spPr/>
      <dgm:t>
        <a:bodyPr/>
        <a:lstStyle/>
        <a:p>
          <a:endParaRPr lang="en-US"/>
        </a:p>
      </dgm:t>
    </dgm:pt>
    <dgm:pt modelId="{BB78CF32-946E-44D8-A2CB-37AAD43DE337}" type="sibTrans" cxnId="{DAA46AD6-6800-4619-A2CB-499FD1424CD7}">
      <dgm:prSet/>
      <dgm:spPr/>
      <dgm:t>
        <a:bodyPr/>
        <a:lstStyle/>
        <a:p>
          <a:endParaRPr lang="en-US"/>
        </a:p>
      </dgm:t>
    </dgm:pt>
    <dgm:pt modelId="{6F8CBEB5-BD00-46A8-8598-53DD15BC0D05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</dgm:t>
    </dgm:pt>
    <dgm:pt modelId="{A6EB8F4D-3D4D-468C-8830-DEA557649AF4}" type="parTrans" cxnId="{62A354C5-3414-40BA-AD2A-45FD81C86CE9}">
      <dgm:prSet/>
      <dgm:spPr/>
      <dgm:t>
        <a:bodyPr/>
        <a:lstStyle/>
        <a:p>
          <a:endParaRPr lang="en-US"/>
        </a:p>
      </dgm:t>
    </dgm:pt>
    <dgm:pt modelId="{0628C494-8642-43D7-B0AB-7759DCBF2D72}" type="sibTrans" cxnId="{62A354C5-3414-40BA-AD2A-45FD81C86CE9}">
      <dgm:prSet/>
      <dgm:spPr/>
      <dgm:t>
        <a:bodyPr/>
        <a:lstStyle/>
        <a:p>
          <a:endParaRPr lang="en-US"/>
        </a:p>
      </dgm:t>
    </dgm:pt>
    <dgm:pt modelId="{F66DA131-6178-426C-B996-591DEB09B7CB}">
      <dgm:prSet phldrT="[Texto]" custT="1"/>
      <dgm:spPr/>
      <dgm:t>
        <a:bodyPr/>
        <a:lstStyle/>
        <a:p>
          <a:pPr algn="just"/>
          <a:endParaRPr lang="en-US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F9C5CB-6317-4711-B2DE-3942A095800E}" type="parTrans" cxnId="{85A2A9D1-776F-461B-B5DF-FAD4A3C4D680}">
      <dgm:prSet/>
      <dgm:spPr/>
      <dgm:t>
        <a:bodyPr/>
        <a:lstStyle/>
        <a:p>
          <a:endParaRPr lang="en-US"/>
        </a:p>
      </dgm:t>
    </dgm:pt>
    <dgm:pt modelId="{FC3858C3-5945-430C-BB96-A050D5CEC46F}" type="sibTrans" cxnId="{85A2A9D1-776F-461B-B5DF-FAD4A3C4D680}">
      <dgm:prSet/>
      <dgm:spPr/>
      <dgm:t>
        <a:bodyPr/>
        <a:lstStyle/>
        <a:p>
          <a:endParaRPr lang="en-US"/>
        </a:p>
      </dgm:t>
    </dgm:pt>
    <dgm:pt modelId="{453A4B04-F76E-490B-8F74-F2CEC3B8BB19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616642-9216-43BC-85CB-23782D39B7D5}" type="parTrans" cxnId="{E97BC17C-ACE4-4BB7-BC2E-2E60E6AEC07C}">
      <dgm:prSet/>
      <dgm:spPr/>
      <dgm:t>
        <a:bodyPr/>
        <a:lstStyle/>
        <a:p>
          <a:endParaRPr lang="es-GT"/>
        </a:p>
      </dgm:t>
    </dgm:pt>
    <dgm:pt modelId="{0C3A3D81-03D4-41F0-9DDD-F21090510B7A}" type="sibTrans" cxnId="{E97BC17C-ACE4-4BB7-BC2E-2E60E6AEC07C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ScaleY="99330" custLinFactNeighborX="-1523" custLinFactNeighborY="1916">
        <dgm:presLayoutVars>
          <dgm:bulletEnabled val="1"/>
        </dgm:presLayoutVars>
      </dgm:prSet>
      <dgm:spPr/>
    </dgm:pt>
  </dgm:ptLst>
  <dgm:cxnLst>
    <dgm:cxn modelId="{69387103-3411-4A6C-B040-8EBB6BCB6A88}" type="presOf" srcId="{3CF91B55-1F75-4C87-9C67-A20C9FA05662}" destId="{1111B519-2F2F-4512-95FE-D2216303CCBE}" srcOrd="0" destOrd="3" presId="urn:microsoft.com/office/officeart/2005/8/layout/list1"/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2C707029-5A0E-402A-B59F-EF340F2A4F9E}" type="presOf" srcId="{B3BD5EE0-8B02-47DD-9A82-259B22A65496}" destId="{1111B519-2F2F-4512-95FE-D2216303CCBE}" srcOrd="0" destOrd="8" presId="urn:microsoft.com/office/officeart/2005/8/layout/list1"/>
    <dgm:cxn modelId="{804E552C-050E-4FE3-9A89-FA56FE6F04DB}" srcId="{68DFCB13-F778-41C4-88A6-8A8793BBCF6B}" destId="{DDD57492-28E1-4534-8544-AE4C4F54393E}" srcOrd="4" destOrd="0" parTransId="{F4E1C6EE-CD86-4051-8C91-50C764FC2B3C}" sibTransId="{810108D9-3C67-4E9B-A016-62224098F996}"/>
    <dgm:cxn modelId="{EEF66A34-B4C1-4174-83EC-4C87C0DB31E8}" type="presOf" srcId="{DDD57492-28E1-4534-8544-AE4C4F54393E}" destId="{1111B519-2F2F-4512-95FE-D2216303CCBE}" srcOrd="0" destOrd="4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D2A05A42-79FB-4963-8B17-BF9A6786808F}" srcId="{68DFCB13-F778-41C4-88A6-8A8793BBCF6B}" destId="{C3D409E7-6B38-4B8B-8222-44C703F58D92}" srcOrd="2" destOrd="0" parTransId="{35E9F9E2-37BD-42CA-AB3F-4201DA8C5649}" sibTransId="{AC2A3F50-B651-4C05-9C8B-A8F890A72D73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3B646E4E-A757-43B0-9D09-BAE2E05E5ACA}" srcId="{68DFCB13-F778-41C4-88A6-8A8793BBCF6B}" destId="{3CF91B55-1F75-4C87-9C67-A20C9FA05662}" srcOrd="3" destOrd="0" parTransId="{D8385961-8EAF-45B4-BEDD-9F02F740FFF8}" sibTransId="{3B565E79-6F22-4474-B8A9-856B312682A2}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85999478-29B4-46D0-A378-2630E510203B}" type="presOf" srcId="{6F8CBEB5-BD00-46A8-8598-53DD15BC0D05}" destId="{1111B519-2F2F-4512-95FE-D2216303CCBE}" srcOrd="0" destOrd="6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E97BC17C-ACE4-4BB7-BC2E-2E60E6AEC07C}" srcId="{68DFCB13-F778-41C4-88A6-8A8793BBCF6B}" destId="{453A4B04-F76E-490B-8F74-F2CEC3B8BB19}" srcOrd="7" destOrd="0" parTransId="{E8616642-9216-43BC-85CB-23782D39B7D5}" sibTransId="{0C3A3D81-03D4-41F0-9DDD-F21090510B7A}"/>
    <dgm:cxn modelId="{62A354C5-3414-40BA-AD2A-45FD81C86CE9}" srcId="{68DFCB13-F778-41C4-88A6-8A8793BBCF6B}" destId="{6F8CBEB5-BD00-46A8-8598-53DD15BC0D05}" srcOrd="6" destOrd="0" parTransId="{A6EB8F4D-3D4D-468C-8830-DEA557649AF4}" sibTransId="{0628C494-8642-43D7-B0AB-7759DCBF2D72}"/>
    <dgm:cxn modelId="{85A2A9D1-776F-461B-B5DF-FAD4A3C4D680}" srcId="{68DFCB13-F778-41C4-88A6-8A8793BBCF6B}" destId="{F66DA131-6178-426C-B996-591DEB09B7CB}" srcOrd="5" destOrd="0" parTransId="{CEF9C5CB-6317-4711-B2DE-3942A095800E}" sibTransId="{FC3858C3-5945-430C-BB96-A050D5CEC46F}"/>
    <dgm:cxn modelId="{DAA46AD6-6800-4619-A2CB-499FD1424CD7}" srcId="{68DFCB13-F778-41C4-88A6-8A8793BBCF6B}" destId="{8A074394-24C9-4417-B175-5B020C5132EE}" srcOrd="1" destOrd="0" parTransId="{DCE292B1-DDE6-4D66-AF9B-D8F09CB2C44B}" sibTransId="{BB78CF32-946E-44D8-A2CB-37AAD43DE337}"/>
    <dgm:cxn modelId="{B7CD85DB-3BC4-4CD4-9B17-43633D4795FD}" type="presOf" srcId="{C3D409E7-6B38-4B8B-8222-44C703F58D92}" destId="{1111B519-2F2F-4512-95FE-D2216303CCBE}" srcOrd="0" destOrd="2" presId="urn:microsoft.com/office/officeart/2005/8/layout/list1"/>
    <dgm:cxn modelId="{46B5D4E3-A1B8-446E-BF94-1D1B608BD025}" srcId="{68DFCB13-F778-41C4-88A6-8A8793BBCF6B}" destId="{B3BD5EE0-8B02-47DD-9A82-259B22A65496}" srcOrd="8" destOrd="0" parTransId="{C5714091-2FD7-45AB-996F-8D909E729D08}" sibTransId="{0927F4C2-33AC-47BA-87B1-9849DE2EA647}"/>
    <dgm:cxn modelId="{15195BEA-A48C-4BD1-BDAE-C543865F46DB}" type="presOf" srcId="{453A4B04-F76E-490B-8F74-F2CEC3B8BB19}" destId="{1111B519-2F2F-4512-95FE-D2216303CCBE}" srcOrd="0" destOrd="7" presId="urn:microsoft.com/office/officeart/2005/8/layout/list1"/>
    <dgm:cxn modelId="{CA8266EB-2064-4FDD-95F0-C82CE1121510}" type="presOf" srcId="{8A074394-24C9-4417-B175-5B020C5132EE}" destId="{1111B519-2F2F-4512-95FE-D2216303CCBE}" srcOrd="0" destOrd="1" presId="urn:microsoft.com/office/officeart/2005/8/layout/list1"/>
    <dgm:cxn modelId="{5046DFFC-77C3-490C-81E3-6B38AFE3D365}" type="presOf" srcId="{F66DA131-6178-426C-B996-591DEB09B7CB}" destId="{1111B519-2F2F-4512-95FE-D2216303CCBE}" srcOrd="0" destOrd="5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0"/>
          <a:ext cx="5836919" cy="866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04140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disminución del patrimonio neto como resultado de una transacción (MEFP 2014) </a:t>
          </a:r>
        </a:p>
      </dsp:txBody>
      <dsp:txXfrm>
        <a:off x="0" y="0"/>
        <a:ext cx="5836919" cy="866250"/>
      </dsp:txXfrm>
    </dsp:sp>
    <dsp:sp modelId="{377E1CD8-0067-463D-AA47-7581C029D7D4}">
      <dsp:nvSpPr>
        <dsp:cNvPr id="0" name=""/>
        <dsp:cNvSpPr/>
      </dsp:nvSpPr>
      <dsp:spPr>
        <a:xfrm>
          <a:off x="291560" y="4234"/>
          <a:ext cx="1379380" cy="1476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765" y="11439"/>
        <a:ext cx="1364970" cy="1331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14959"/>
          <a:ext cx="5836919" cy="7497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45796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sp:txBody>
      <dsp:txXfrm>
        <a:off x="0" y="114959"/>
        <a:ext cx="5836919" cy="749700"/>
      </dsp:txXfrm>
    </dsp:sp>
    <dsp:sp modelId="{377E1CD8-0067-463D-AA47-7581C029D7D4}">
      <dsp:nvSpPr>
        <dsp:cNvPr id="0" name=""/>
        <dsp:cNvSpPr/>
      </dsp:nvSpPr>
      <dsp:spPr>
        <a:xfrm>
          <a:off x="291560" y="11639"/>
          <a:ext cx="1379380" cy="2066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1647" y="21726"/>
        <a:ext cx="1359206" cy="18646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73866"/>
          <a:ext cx="5836919" cy="17800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6395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73866"/>
        <a:ext cx="5836919" cy="1780030"/>
      </dsp:txXfrm>
    </dsp:sp>
    <dsp:sp modelId="{377E1CD8-0067-463D-AA47-7581C029D7D4}">
      <dsp:nvSpPr>
        <dsp:cNvPr id="0" name=""/>
        <dsp:cNvSpPr/>
      </dsp:nvSpPr>
      <dsp:spPr>
        <a:xfrm>
          <a:off x="291560" y="1660"/>
          <a:ext cx="1379380" cy="1416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477" y="8577"/>
        <a:ext cx="1365546" cy="1278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</cdr:x>
      <cdr:y>0.84726</cdr:y>
    </cdr:from>
    <cdr:to>
      <cdr:x>1</cdr:x>
      <cdr:y>0.983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79899" y="1617794"/>
          <a:ext cx="1097896" cy="2591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0.19655</cdr:x>
      <cdr:y>0.8965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8119" y="3700886"/>
          <a:ext cx="2322401" cy="4272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1/ Con base a la metodología nacional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0.81689</cdr:x>
      <cdr:y>0.28701</cdr:y>
    </cdr:from>
    <cdr:to>
      <cdr:x>0.81689</cdr:x>
      <cdr:y>0.88429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4878109" y="520510"/>
          <a:ext cx="0" cy="1083203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0.52124</cdr:x>
      <cdr:y>0.8031</cdr:y>
    </cdr:from>
    <cdr:to>
      <cdr:x>1</cdr:x>
      <cdr:y>0.8031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1590731" y="2915490"/>
          <a:ext cx="1461079" cy="0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0.6658</cdr:x>
      <cdr:y>0.91696</cdr:y>
    </cdr:from>
    <cdr:to>
      <cdr:x>1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31896" y="3328835"/>
          <a:ext cx="1019914" cy="3014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0.82855</cdr:y>
    </cdr:from>
    <cdr:to>
      <cdr:x>0.35844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533144"/>
          <a:ext cx="1019914" cy="3172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0.12544</cdr:x>
      <cdr:y>0.26619</cdr:y>
    </cdr:from>
    <cdr:to>
      <cdr:x>0.12544</cdr:x>
      <cdr:y>0.61273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688212" y="535654"/>
          <a:ext cx="0" cy="697343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0.8141</cdr:x>
      <cdr:y>0.87116</cdr:y>
    </cdr:from>
    <cdr:to>
      <cdr:x>1</cdr:x>
      <cdr:y>0.99232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66486" y="1753051"/>
          <a:ext cx="1019914" cy="2438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0.82197</cdr:x>
      <cdr:y>0.83708</cdr:y>
    </cdr:from>
    <cdr:to>
      <cdr:x>1</cdr:x>
      <cdr:y>0.98125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09041" y="1448987"/>
          <a:ext cx="1019929" cy="2495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0.74688</cdr:x>
      <cdr:y>0.10078</cdr:y>
    </cdr:from>
    <cdr:to>
      <cdr:x>0.74688</cdr:x>
      <cdr:y>0.6762</cdr:y>
    </cdr:to>
    <cdr:cxnSp macro="">
      <cdr:nvCxnSpPr>
        <cdr:cNvPr id="4" name="Conector recto 3"/>
        <cdr:cNvCxnSpPr/>
      </cdr:nvCxnSpPr>
      <cdr:spPr>
        <a:xfrm xmlns:a="http://schemas.openxmlformats.org/drawingml/2006/main">
          <a:off x="2125203" y="167730"/>
          <a:ext cx="0" cy="957688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0.78011</cdr:x>
      <cdr:y>0.09125</cdr:y>
    </cdr:from>
    <cdr:to>
      <cdr:x>0.78011</cdr:x>
      <cdr:y>0.68964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2629411" y="183962"/>
          <a:ext cx="0" cy="1206441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0.88404</cdr:y>
    </cdr:from>
    <cdr:to>
      <cdr:x>0.1859</cdr:x>
      <cdr:y>0.97053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702411"/>
          <a:ext cx="1019914" cy="2643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51543-4BB1-42C7-A7AD-12CBBFDD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2532</Words>
  <Characters>13930</Characters>
  <Application>Microsoft Office Word</Application>
  <DocSecurity>0</DocSecurity>
  <Lines>116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de las FinanzAs públicas</vt:lpstr>
      <vt:lpstr>Informe de las FinanzAs públicas</vt:lpstr>
    </vt:vector>
  </TitlesOfParts>
  <Company>Dirección de Análisis y Política Fiscal</Company>
  <LinksUpToDate>false</LinksUpToDate>
  <CharactersWithSpaces>16430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las FinanzAs públicas</dc:title>
  <dc:subject>Primer Trimestre</dc:subject>
  <dc:creator>DAPF</dc:creator>
  <cp:keywords/>
  <dc:description/>
  <cp:lastModifiedBy>Carlos Andrés Herrera Huard</cp:lastModifiedBy>
  <cp:revision>30</cp:revision>
  <cp:lastPrinted>2021-05-10T16:48:00Z</cp:lastPrinted>
  <dcterms:created xsi:type="dcterms:W3CDTF">2021-05-10T15:50:00Z</dcterms:created>
  <dcterms:modified xsi:type="dcterms:W3CDTF">2021-05-10T16:48:00Z</dcterms:modified>
  <cp:category>Ministerio de Finanzas Públicas</cp:category>
</cp:coreProperties>
</file>